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sz w:val="84"/>
        </w:rPr>
      </w:pPr>
    </w:p>
    <w:p>
      <w:pPr>
        <w:jc w:val="center"/>
        <w:rPr>
          <w:b/>
          <w:sz w:val="36"/>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44"/>
          <w:szCs w:val="44"/>
        </w:rPr>
      </w:pPr>
      <w:r>
        <w:rPr>
          <w:rFonts w:hint="eastAsia"/>
          <w:b/>
          <w:sz w:val="44"/>
          <w:szCs w:val="44"/>
        </w:rPr>
        <w:t>RX357车载道路积尘负荷监测系统</w:t>
      </w:r>
    </w:p>
    <w:p>
      <w:pPr>
        <w:jc w:val="center"/>
        <w:rPr>
          <w:b/>
          <w:sz w:val="44"/>
          <w:szCs w:val="44"/>
        </w:rPr>
      </w:pPr>
      <w:r>
        <w:rPr>
          <w:rFonts w:hint="eastAsia"/>
          <w:b/>
          <w:sz w:val="44"/>
          <w:szCs w:val="44"/>
        </w:rPr>
        <w:t>产品说明书</w:t>
      </w:r>
    </w:p>
    <w:p>
      <w:pPr>
        <w:jc w:val="center"/>
        <w:rPr>
          <w:b/>
          <w:sz w:val="44"/>
          <w:szCs w:val="44"/>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r>
        <w:rPr>
          <w:rFonts w:hint="eastAsia"/>
          <w:b/>
          <w:sz w:val="28"/>
          <w:szCs w:val="28"/>
        </w:rPr>
        <w:t>北京清环宜境技术有限公司</w:t>
      </w:r>
    </w:p>
    <w:p>
      <w:pPr>
        <w:jc w:val="center"/>
      </w:pPr>
    </w:p>
    <w:p>
      <w:r>
        <w:rPr>
          <w:rFonts w:hint="eastAsia"/>
        </w:rPr>
        <w:t xml:space="preserve">                                 </w:t>
      </w:r>
      <w:r>
        <w:rPr>
          <w:rFonts w:hint="eastAsia"/>
          <w:b/>
          <w:sz w:val="28"/>
          <w:szCs w:val="28"/>
        </w:rPr>
        <w:t xml:space="preserve">  </w:t>
      </w:r>
    </w:p>
    <w:p/>
    <w:p/>
    <w:p/>
    <w:p/>
    <w:p/>
    <w:p>
      <w:pPr>
        <w:adjustRightInd w:val="0"/>
        <w:snapToGrid w:val="0"/>
        <w:spacing w:before="240" w:beforeLines="100" w:line="360" w:lineRule="auto"/>
        <w:rPr>
          <w:b/>
          <w:sz w:val="36"/>
          <w:szCs w:val="36"/>
        </w:rPr>
      </w:pPr>
      <w:bookmarkStart w:id="0" w:name="_Toc345253181"/>
      <w:bookmarkStart w:id="1" w:name="_Toc19856"/>
      <w:bookmarkStart w:id="2" w:name="OLE_LINK2"/>
      <w:r>
        <w:rPr>
          <w:b/>
          <w:sz w:val="36"/>
          <w:szCs w:val="36"/>
        </w:rPr>
        <w:t>型  号：RX3</w:t>
      </w:r>
      <w:r>
        <w:rPr>
          <w:rFonts w:hint="eastAsia"/>
          <w:b/>
          <w:sz w:val="36"/>
          <w:szCs w:val="36"/>
        </w:rPr>
        <w:t>57</w:t>
      </w:r>
    </w:p>
    <w:p>
      <w:pPr>
        <w:adjustRightInd w:val="0"/>
        <w:snapToGrid w:val="0"/>
        <w:spacing w:line="360" w:lineRule="auto"/>
        <w:rPr>
          <w:b/>
          <w:sz w:val="36"/>
          <w:szCs w:val="36"/>
        </w:rPr>
      </w:pPr>
      <w:r>
        <w:rPr>
          <w:b/>
          <w:sz w:val="36"/>
          <w:szCs w:val="36"/>
        </w:rPr>
        <w:t>制造商：北京</w:t>
      </w:r>
      <w:r>
        <w:rPr>
          <w:rFonts w:hint="eastAsia"/>
          <w:b/>
          <w:sz w:val="36"/>
          <w:szCs w:val="36"/>
        </w:rPr>
        <w:t>清环宜境技术</w:t>
      </w:r>
      <w:r>
        <w:rPr>
          <w:b/>
          <w:sz w:val="36"/>
          <w:szCs w:val="36"/>
        </w:rPr>
        <w:t>有限公司</w:t>
      </w:r>
    </w:p>
    <w:p>
      <w:pPr>
        <w:adjustRightInd w:val="0"/>
        <w:snapToGrid w:val="0"/>
        <w:spacing w:line="360" w:lineRule="auto"/>
        <w:rPr>
          <w:b/>
          <w:sz w:val="36"/>
          <w:szCs w:val="36"/>
        </w:rPr>
      </w:pPr>
      <w:r>
        <w:rPr>
          <w:rFonts w:hint="eastAsia"/>
          <w:b/>
          <w:sz w:val="36"/>
          <w:szCs w:val="36"/>
        </w:rPr>
        <w:drawing>
          <wp:inline distT="0" distB="0" distL="114300" distR="114300">
            <wp:extent cx="5266690" cy="6391275"/>
            <wp:effectExtent l="0" t="0" r="10160" b="9525"/>
            <wp:docPr id="4" name="图片 4" descr="b2f9e96806edfcceac1098215963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2f9e96806edfcceac1098215963e52"/>
                    <pic:cNvPicPr>
                      <a:picLocks noChangeAspect="1"/>
                    </pic:cNvPicPr>
                  </pic:nvPicPr>
                  <pic:blipFill>
                    <a:blip r:embed="rId6"/>
                    <a:srcRect t="8955"/>
                    <a:stretch>
                      <a:fillRect/>
                    </a:stretch>
                  </pic:blipFill>
                  <pic:spPr>
                    <a:xfrm>
                      <a:off x="0" y="0"/>
                      <a:ext cx="5266690" cy="6391275"/>
                    </a:xfrm>
                    <a:prstGeom prst="rect">
                      <a:avLst/>
                    </a:prstGeom>
                  </pic:spPr>
                </pic:pic>
              </a:graphicData>
            </a:graphic>
          </wp:inline>
        </w:drawing>
      </w:r>
      <w:r>
        <w:rPr>
          <w:rFonts w:hint="eastAsia"/>
          <w:b/>
          <w:sz w:val="36"/>
          <w:szCs w:val="36"/>
        </w:rPr>
        <w:t xml:space="preserve">   </w:t>
      </w:r>
    </w:p>
    <w:p>
      <w:pPr>
        <w:adjustRightInd w:val="0"/>
        <w:snapToGrid w:val="0"/>
        <w:spacing w:line="360" w:lineRule="auto"/>
        <w:rPr>
          <w:b/>
          <w:sz w:val="36"/>
          <w:szCs w:val="36"/>
        </w:rPr>
      </w:pPr>
    </w:p>
    <w:p>
      <w:pPr>
        <w:pStyle w:val="4"/>
        <w:tabs>
          <w:tab w:val="left" w:pos="851"/>
          <w:tab w:val="left" w:pos="964"/>
        </w:tabs>
        <w:spacing w:after="330" w:line="240" w:lineRule="auto"/>
        <w:rPr>
          <w:rFonts w:asciiTheme="minorEastAsia" w:hAnsiTheme="minorEastAsia"/>
          <w:kern w:val="0"/>
          <w:sz w:val="28"/>
        </w:rPr>
      </w:pPr>
      <w:r>
        <w:rPr>
          <w:rFonts w:asciiTheme="minorEastAsia" w:hAnsiTheme="minorEastAsia"/>
          <w:kern w:val="0"/>
          <w:sz w:val="28"/>
        </w:rPr>
        <w:t>1 概述</w:t>
      </w:r>
      <w:bookmarkEnd w:id="0"/>
    </w:p>
    <w:p>
      <w:pPr>
        <w:spacing w:line="360" w:lineRule="auto"/>
        <w:ind w:firstLine="480" w:firstLineChars="200"/>
        <w:rPr>
          <w:bCs/>
          <w:color w:val="000000"/>
          <w:sz w:val="24"/>
        </w:rPr>
      </w:pPr>
      <w:bookmarkStart w:id="3" w:name="_Toc345253182"/>
      <w:r>
        <w:rPr>
          <w:rFonts w:hint="eastAsia"/>
          <w:bCs/>
          <w:color w:val="000000"/>
          <w:sz w:val="24"/>
        </w:rPr>
        <w:t>道路积尘则是指道路上的积土在一定的动力条件(风力、机动车碾压以及人群活动)下一次或多次被扬起并混合进入环境空气中形成不同粒径分布的颗粒物，一般称为道路积尘。城市道路积尘是大气飘尘、汽车携带、路面磨损、周边裸地和建筑尘等各种来源迁移和沉积的结果，也是大气污染物和城市地表径流中污染物的重要来源，因此，道路积尘已经成为城市大气细颗粒物的重要来源，是城市的一大公害。道路积尘传统的手工监测方法无法做到实时性，对于道路积尘的全方位评估缺少数据来源，对于道路污染治理的缺乏科学有效的数据支撑。</w:t>
      </w:r>
    </w:p>
    <w:p>
      <w:pPr>
        <w:spacing w:line="360" w:lineRule="auto"/>
        <w:ind w:firstLine="480" w:firstLineChars="200"/>
        <w:rPr>
          <w:bCs/>
          <w:color w:val="000000"/>
          <w:sz w:val="24"/>
        </w:rPr>
      </w:pPr>
      <w:r>
        <w:rPr>
          <w:rFonts w:hint="eastAsia"/>
          <w:bCs/>
          <w:color w:val="000000"/>
          <w:sz w:val="24"/>
        </w:rPr>
        <w:t>为解决上述问题，北京清环宜境技术有限公司在开发了一款用于车辆等移动平台的道路积尘负荷在线监测系统。</w:t>
      </w:r>
      <w:r>
        <w:rPr>
          <w:rFonts w:hint="eastAsia"/>
          <w:bCs/>
          <w:sz w:val="24"/>
        </w:rPr>
        <w:t>该监测系统由</w:t>
      </w:r>
      <w:r>
        <w:rPr>
          <w:rFonts w:hint="eastAsia"/>
          <w:bCs/>
          <w:color w:val="000000"/>
          <w:sz w:val="24"/>
        </w:rPr>
        <w:t>车顶背景颗粒物监测单元、车底道路积尘采集单元、数据分析与传输单元、车载监控摄像头等，克服了时间和空间限制，可快速、精准监测城市道路的积尘量。</w:t>
      </w:r>
    </w:p>
    <w:p>
      <w:pPr>
        <w:pStyle w:val="4"/>
        <w:tabs>
          <w:tab w:val="left" w:pos="851"/>
          <w:tab w:val="left" w:pos="964"/>
        </w:tabs>
        <w:spacing w:after="330" w:line="240" w:lineRule="auto"/>
        <w:rPr>
          <w:rFonts w:asciiTheme="minorEastAsia" w:hAnsiTheme="minorEastAsia"/>
          <w:kern w:val="0"/>
          <w:sz w:val="28"/>
        </w:rPr>
      </w:pPr>
      <w:r>
        <w:rPr>
          <w:rFonts w:asciiTheme="minorEastAsia" w:hAnsiTheme="minorEastAsia"/>
          <w:kern w:val="0"/>
          <w:sz w:val="28"/>
        </w:rPr>
        <w:t>2 特点</w:t>
      </w:r>
      <w:bookmarkEnd w:id="3"/>
    </w:p>
    <w:p>
      <w:pPr>
        <w:pStyle w:val="56"/>
        <w:numPr>
          <w:ilvl w:val="0"/>
          <w:numId w:val="2"/>
        </w:numPr>
        <w:spacing w:line="360" w:lineRule="auto"/>
        <w:ind w:left="420" w:leftChars="0" w:hanging="420" w:firstLineChars="0"/>
        <w:rPr>
          <w:rStyle w:val="29"/>
          <w:rFonts w:ascii="宋体" w:hAnsi="宋体"/>
          <w:sz w:val="24"/>
        </w:rPr>
      </w:pPr>
      <w:r>
        <w:rPr>
          <w:rStyle w:val="29"/>
          <w:rFonts w:hint="eastAsia" w:ascii="宋体" w:hAnsi="宋体"/>
          <w:sz w:val="24"/>
        </w:rPr>
        <w:t>设备采用成熟颗粒物光学检测技术，性能稳定、数据精准；</w:t>
      </w:r>
    </w:p>
    <w:p>
      <w:pPr>
        <w:pStyle w:val="56"/>
        <w:numPr>
          <w:ilvl w:val="0"/>
          <w:numId w:val="2"/>
        </w:numPr>
        <w:spacing w:line="360" w:lineRule="auto"/>
        <w:ind w:left="420" w:leftChars="0" w:hanging="420" w:firstLineChars="0"/>
        <w:rPr>
          <w:rFonts w:ascii="宋体" w:hAnsi="宋体"/>
          <w:sz w:val="24"/>
        </w:rPr>
      </w:pPr>
      <w:r>
        <w:rPr>
          <w:rStyle w:val="29"/>
          <w:rFonts w:hint="eastAsia" w:ascii="宋体" w:hAnsi="宋体"/>
          <w:sz w:val="24"/>
        </w:rPr>
        <w:t>借助大数据计算技术，海量数据处理，全域道路监测实时在线展示；</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道路积尘负荷剔除背景数据，实现道路积尘的准确核算；</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依据道路积尘数据，综合计算，可提供环卫作业指导方案和提示；</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车底道路积尘检测单元增加防堵设计，有效提高传感器精度和监测数据准确度。</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内嵌DHS（动态加热）技术，有效去除道路洒水等对于积尘监测的影响；</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内置鞘气保护装置，自动稳定传感器的零点，提升传感器稳定性；</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可构建区域化高分辨率监测网络，实现道路积尘的监管监测和管理；</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数据安全有保障，数据传输采用独特的动态加密技术，从而避免其他人员恶意修改设备网络参数导致的系统崩溃；</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结合GIS技术、GPS定位功能，直观展示重点污染区域位置；</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自动记录行车里程，计算采样面积；</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可通过手机APP实时查看监测数据；</w:t>
      </w:r>
    </w:p>
    <w:p>
      <w:pPr>
        <w:pStyle w:val="56"/>
        <w:numPr>
          <w:ilvl w:val="0"/>
          <w:numId w:val="2"/>
        </w:numPr>
        <w:spacing w:line="360" w:lineRule="auto"/>
        <w:ind w:left="420" w:leftChars="0" w:hanging="420" w:firstLineChars="0"/>
        <w:rPr>
          <w:rStyle w:val="29"/>
          <w:rFonts w:ascii="宋体" w:hAnsi="宋体"/>
          <w:sz w:val="24"/>
          <w:szCs w:val="21"/>
        </w:rPr>
      </w:pPr>
      <w:r>
        <w:rPr>
          <w:rStyle w:val="29"/>
          <w:rFonts w:hint="eastAsia" w:ascii="宋体" w:hAnsi="宋体"/>
          <w:sz w:val="24"/>
          <w:szCs w:val="21"/>
        </w:rPr>
        <w:t>监测终端体较小、方便快速安装部署。</w:t>
      </w:r>
    </w:p>
    <w:p>
      <w:pPr>
        <w:pStyle w:val="4"/>
        <w:tabs>
          <w:tab w:val="left" w:pos="851"/>
          <w:tab w:val="left" w:pos="964"/>
        </w:tabs>
        <w:spacing w:after="330" w:line="240" w:lineRule="auto"/>
        <w:rPr>
          <w:rStyle w:val="29"/>
          <w:rFonts w:asciiTheme="minorEastAsia" w:hAnsiTheme="minorEastAsia" w:cstheme="minorBidi"/>
          <w:kern w:val="0"/>
          <w:sz w:val="28"/>
        </w:rPr>
      </w:pPr>
      <w:r>
        <w:rPr>
          <w:rFonts w:hint="eastAsia" w:asciiTheme="minorEastAsia" w:hAnsiTheme="minorEastAsia"/>
          <w:kern w:val="0"/>
          <w:sz w:val="28"/>
        </w:rPr>
        <w:t>3 应用领域</w:t>
      </w:r>
    </w:p>
    <w:p>
      <w:pPr>
        <w:spacing w:line="360" w:lineRule="auto"/>
        <w:rPr>
          <w:b/>
          <w:bCs/>
          <w:color w:val="000000"/>
          <w:sz w:val="24"/>
        </w:rPr>
      </w:pPr>
      <w:r>
        <w:rPr>
          <w:rFonts w:hint="eastAsia"/>
          <w:b/>
          <w:bCs/>
          <w:color w:val="000000"/>
          <w:sz w:val="24"/>
        </w:rPr>
        <w:t>3</w:t>
      </w:r>
      <w:r>
        <w:rPr>
          <w:b/>
          <w:bCs/>
          <w:color w:val="000000"/>
          <w:sz w:val="24"/>
        </w:rPr>
        <w:t>.</w:t>
      </w:r>
      <w:r>
        <w:rPr>
          <w:rFonts w:hint="eastAsia"/>
          <w:b/>
          <w:bCs/>
          <w:color w:val="000000"/>
          <w:sz w:val="24"/>
        </w:rPr>
        <w:t>1 交通道路积尘监测</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主要道路的监测；</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重点地段的监测；</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机场、港口等的监测；</w:t>
      </w:r>
    </w:p>
    <w:p>
      <w:pPr>
        <w:spacing w:line="360" w:lineRule="auto"/>
        <w:rPr>
          <w:b/>
          <w:bCs/>
          <w:color w:val="000000"/>
          <w:sz w:val="24"/>
        </w:rPr>
      </w:pPr>
      <w:r>
        <w:rPr>
          <w:rFonts w:hint="eastAsia"/>
          <w:b/>
          <w:bCs/>
          <w:color w:val="000000"/>
          <w:sz w:val="24"/>
        </w:rPr>
        <w:t>3.2重点区域环境颗粒物监测</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重点厂区、工业园区的监测；</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在建中的工地、建筑；</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旅游景点等监测。</w:t>
      </w:r>
    </w:p>
    <w:p>
      <w:pPr>
        <w:pStyle w:val="4"/>
        <w:tabs>
          <w:tab w:val="left" w:pos="851"/>
          <w:tab w:val="left" w:pos="964"/>
        </w:tabs>
        <w:spacing w:after="330" w:line="240" w:lineRule="auto"/>
        <w:rPr>
          <w:rFonts w:asciiTheme="minorEastAsia" w:hAnsiTheme="minorEastAsia"/>
          <w:kern w:val="0"/>
          <w:sz w:val="28"/>
        </w:rPr>
      </w:pPr>
      <w:bookmarkStart w:id="4" w:name="_Toc345253184"/>
      <w:r>
        <w:rPr>
          <w:rFonts w:hint="eastAsia" w:asciiTheme="minorEastAsia" w:hAnsiTheme="minorEastAsia"/>
          <w:kern w:val="0"/>
          <w:sz w:val="28"/>
        </w:rPr>
        <w:t>4</w:t>
      </w:r>
      <w:r>
        <w:rPr>
          <w:rFonts w:asciiTheme="minorEastAsia" w:hAnsiTheme="minorEastAsia"/>
          <w:kern w:val="0"/>
          <w:sz w:val="28"/>
        </w:rPr>
        <w:t xml:space="preserve"> </w:t>
      </w:r>
      <w:bookmarkEnd w:id="4"/>
      <w:r>
        <w:rPr>
          <w:rFonts w:hint="eastAsia" w:asciiTheme="minorEastAsia" w:hAnsiTheme="minorEastAsia"/>
          <w:kern w:val="0"/>
          <w:sz w:val="28"/>
        </w:rPr>
        <w:t>系统组成</w:t>
      </w:r>
    </w:p>
    <w:tbl>
      <w:tblPr>
        <w:tblStyle w:val="25"/>
        <w:tblW w:w="8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5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b/>
                <w:bCs/>
                <w:sz w:val="24"/>
              </w:rPr>
            </w:pPr>
            <w:r>
              <w:rPr>
                <w:rFonts w:hint="eastAsia" w:ascii="宋体" w:hAnsi="宋体"/>
                <w:b/>
                <w:bCs/>
                <w:sz w:val="24"/>
              </w:rPr>
              <w:t>系统配置</w:t>
            </w:r>
          </w:p>
        </w:tc>
        <w:tc>
          <w:tcPr>
            <w:tcW w:w="5617" w:type="dxa"/>
            <w:vAlign w:val="center"/>
          </w:tcPr>
          <w:p>
            <w:pPr>
              <w:rPr>
                <w:rFonts w:ascii="宋体" w:hAnsi="宋体"/>
                <w:b/>
                <w:bCs/>
                <w:sz w:val="24"/>
              </w:rPr>
            </w:pPr>
            <w:r>
              <w:rPr>
                <w:rFonts w:hint="eastAsia" w:ascii="宋体" w:hAnsi="宋体"/>
                <w:b/>
                <w:bCs/>
                <w:sz w:val="24"/>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rPr>
            </w:pPr>
            <w:r>
              <w:rPr>
                <w:rFonts w:hint="eastAsia"/>
                <w:bCs/>
                <w:color w:val="000000"/>
                <w:sz w:val="24"/>
              </w:rPr>
              <w:t>车顶背景颗粒物监测单元</w:t>
            </w:r>
          </w:p>
        </w:tc>
        <w:tc>
          <w:tcPr>
            <w:tcW w:w="5617" w:type="dxa"/>
            <w:vAlign w:val="center"/>
          </w:tcPr>
          <w:p>
            <w:pPr>
              <w:rPr>
                <w:rFonts w:ascii="宋体" w:hAnsi="宋体"/>
                <w:sz w:val="24"/>
              </w:rPr>
            </w:pPr>
            <w:r>
              <w:rPr>
                <w:rFonts w:ascii="宋体" w:hAnsi="宋体"/>
                <w:sz w:val="24"/>
              </w:rPr>
              <w:t>采用光学法</w:t>
            </w:r>
            <w:r>
              <w:rPr>
                <w:rFonts w:hint="eastAsia" w:ascii="宋体" w:hAnsi="宋体"/>
                <w:sz w:val="24"/>
              </w:rPr>
              <w:t>，</w:t>
            </w:r>
            <w:r>
              <w:rPr>
                <w:rFonts w:ascii="宋体" w:hAnsi="宋体"/>
                <w:sz w:val="24"/>
              </w:rPr>
              <w:t>连续监测道路</w:t>
            </w:r>
            <w:r>
              <w:rPr>
                <w:rFonts w:hint="eastAsia" w:ascii="宋体" w:hAnsi="宋体"/>
                <w:sz w:val="24"/>
              </w:rPr>
              <w:t>颗粒物浓度，PM2.5、PM10、TSP实时数据监测传输等；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rPr>
            </w:pPr>
            <w:r>
              <w:rPr>
                <w:rFonts w:hint="eastAsia" w:ascii="宋体" w:hAnsi="宋体"/>
                <w:sz w:val="24"/>
              </w:rPr>
              <w:t>车底道路积尘监测单元</w:t>
            </w:r>
          </w:p>
        </w:tc>
        <w:tc>
          <w:tcPr>
            <w:tcW w:w="5617" w:type="dxa"/>
            <w:vAlign w:val="center"/>
          </w:tcPr>
          <w:p>
            <w:pPr>
              <w:rPr>
                <w:rFonts w:ascii="宋体" w:hAnsi="宋体"/>
                <w:sz w:val="24"/>
              </w:rPr>
            </w:pPr>
            <w:r>
              <w:rPr>
                <w:rFonts w:ascii="宋体" w:hAnsi="宋体"/>
                <w:sz w:val="24"/>
              </w:rPr>
              <w:t>采用光学法</w:t>
            </w:r>
            <w:r>
              <w:rPr>
                <w:rFonts w:hint="eastAsia" w:ascii="宋体" w:hAnsi="宋体"/>
                <w:sz w:val="24"/>
              </w:rPr>
              <w:t>，</w:t>
            </w:r>
            <w:r>
              <w:rPr>
                <w:rFonts w:ascii="宋体" w:hAnsi="宋体"/>
                <w:sz w:val="24"/>
              </w:rPr>
              <w:t>连续监测道路</w:t>
            </w:r>
            <w:r>
              <w:rPr>
                <w:rFonts w:hint="eastAsia" w:ascii="宋体" w:hAnsi="宋体"/>
                <w:sz w:val="24"/>
              </w:rPr>
              <w:t>积尘浓度，实时数据监测传输等；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szCs w:val="21"/>
              </w:rPr>
            </w:pPr>
            <w:r>
              <w:rPr>
                <w:rFonts w:hint="eastAsia" w:ascii="宋体" w:hAnsi="宋体"/>
                <w:sz w:val="24"/>
                <w:szCs w:val="21"/>
              </w:rPr>
              <w:t>视频监测（选配）</w:t>
            </w:r>
          </w:p>
        </w:tc>
        <w:tc>
          <w:tcPr>
            <w:tcW w:w="5617" w:type="dxa"/>
            <w:vAlign w:val="center"/>
          </w:tcPr>
          <w:p>
            <w:pPr>
              <w:rPr>
                <w:rFonts w:ascii="宋体" w:hAnsi="宋体"/>
                <w:sz w:val="24"/>
                <w:szCs w:val="21"/>
              </w:rPr>
            </w:pPr>
            <w:r>
              <w:rPr>
                <w:rFonts w:hint="eastAsia" w:ascii="宋体" w:hAnsi="宋体"/>
                <w:sz w:val="24"/>
                <w:szCs w:val="21"/>
              </w:rPr>
              <w:t>车载视频监测摄像头，实时监测道路现场的图像；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rPr>
            </w:pPr>
            <w:r>
              <w:rPr>
                <w:rFonts w:hint="eastAsia" w:ascii="宋体" w:hAnsi="宋体"/>
                <w:sz w:val="24"/>
              </w:rPr>
              <w:t>气象参数监测单元（选配）</w:t>
            </w:r>
          </w:p>
        </w:tc>
        <w:tc>
          <w:tcPr>
            <w:tcW w:w="5617" w:type="dxa"/>
            <w:vAlign w:val="center"/>
          </w:tcPr>
          <w:p>
            <w:pPr>
              <w:rPr>
                <w:rFonts w:ascii="宋体" w:hAnsi="宋体"/>
                <w:sz w:val="24"/>
                <w:szCs w:val="21"/>
              </w:rPr>
            </w:pPr>
            <w:r>
              <w:rPr>
                <w:rFonts w:hint="eastAsia" w:ascii="宋体" w:hAnsi="宋体"/>
                <w:sz w:val="24"/>
                <w:szCs w:val="21"/>
              </w:rPr>
              <w:t>超声一体气象站；提供现场气象参数：风速、风向、温度、湿度、气压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rPr>
            </w:pPr>
            <w:r>
              <w:rPr>
                <w:rFonts w:hint="eastAsia" w:ascii="宋体" w:hAnsi="宋体"/>
                <w:sz w:val="24"/>
              </w:rPr>
              <w:t>采样系统</w:t>
            </w:r>
          </w:p>
        </w:tc>
        <w:tc>
          <w:tcPr>
            <w:tcW w:w="5617" w:type="dxa"/>
            <w:vAlign w:val="center"/>
          </w:tcPr>
          <w:p>
            <w:pPr>
              <w:rPr>
                <w:rFonts w:ascii="宋体" w:hAnsi="宋体"/>
                <w:sz w:val="24"/>
              </w:rPr>
            </w:pPr>
            <w:r>
              <w:rPr>
                <w:rFonts w:hint="eastAsia" w:ascii="宋体" w:hAnsi="宋体"/>
                <w:sz w:val="24"/>
              </w:rPr>
              <w:t>恒定流量，采集道路车辆带起的积尘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rPr>
            </w:pPr>
            <w:r>
              <w:rPr>
                <w:rFonts w:ascii="宋体" w:hAnsi="宋体"/>
                <w:sz w:val="24"/>
              </w:rPr>
              <w:t>数据分析与传输单元</w:t>
            </w:r>
          </w:p>
        </w:tc>
        <w:tc>
          <w:tcPr>
            <w:tcW w:w="5617" w:type="dxa"/>
            <w:vAlign w:val="center"/>
          </w:tcPr>
          <w:p>
            <w:pPr>
              <w:rPr>
                <w:rFonts w:ascii="宋体" w:hAnsi="宋体"/>
                <w:sz w:val="24"/>
              </w:rPr>
            </w:pPr>
            <w:r>
              <w:rPr>
                <w:rFonts w:ascii="宋体" w:hAnsi="宋体"/>
                <w:sz w:val="24"/>
              </w:rPr>
              <w:t>采集背景监测数据</w:t>
            </w:r>
            <w:r>
              <w:rPr>
                <w:rFonts w:hint="eastAsia" w:ascii="宋体" w:hAnsi="宋体"/>
                <w:sz w:val="24"/>
              </w:rPr>
              <w:t>、</w:t>
            </w:r>
            <w:r>
              <w:rPr>
                <w:rFonts w:ascii="宋体" w:hAnsi="宋体"/>
                <w:sz w:val="24"/>
              </w:rPr>
              <w:t>道路积尘监测数据</w:t>
            </w:r>
            <w:r>
              <w:rPr>
                <w:rFonts w:hint="eastAsia" w:ascii="宋体" w:hAnsi="宋体"/>
                <w:sz w:val="24"/>
              </w:rPr>
              <w:t>，</w:t>
            </w:r>
            <w:r>
              <w:rPr>
                <w:rFonts w:ascii="宋体" w:hAnsi="宋体"/>
                <w:sz w:val="24"/>
              </w:rPr>
              <w:t>实时分析与计算</w:t>
            </w:r>
            <w:r>
              <w:rPr>
                <w:rFonts w:hint="eastAsia" w:ascii="宋体" w:hAnsi="宋体"/>
                <w:sz w:val="24"/>
              </w:rPr>
              <w:t>；与数据中心实时</w:t>
            </w:r>
            <w:r>
              <w:rPr>
                <w:rFonts w:ascii="宋体" w:hAnsi="宋体"/>
                <w:sz w:val="24"/>
              </w:rPr>
              <w:t>数据传输</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943" w:type="dxa"/>
            <w:vAlign w:val="center"/>
          </w:tcPr>
          <w:p>
            <w:pPr>
              <w:rPr>
                <w:rFonts w:ascii="宋体" w:hAnsi="宋体"/>
                <w:sz w:val="24"/>
                <w:szCs w:val="21"/>
              </w:rPr>
            </w:pPr>
            <w:r>
              <w:rPr>
                <w:rFonts w:hint="eastAsia" w:ascii="宋体" w:hAnsi="宋体"/>
                <w:sz w:val="24"/>
                <w:szCs w:val="21"/>
              </w:rPr>
              <w:t>供电单元</w:t>
            </w:r>
          </w:p>
        </w:tc>
        <w:tc>
          <w:tcPr>
            <w:tcW w:w="5617" w:type="dxa"/>
            <w:vAlign w:val="center"/>
          </w:tcPr>
          <w:p>
            <w:pPr>
              <w:rPr>
                <w:rFonts w:ascii="宋体" w:hAnsi="宋体"/>
                <w:sz w:val="24"/>
                <w:szCs w:val="21"/>
              </w:rPr>
            </w:pPr>
            <w:r>
              <w:rPr>
                <w:rFonts w:hint="eastAsia" w:ascii="宋体" w:hAnsi="宋体"/>
                <w:sz w:val="24"/>
                <w:szCs w:val="21"/>
              </w:rPr>
              <w:t>设备内置大容量锂电池，支持设备工作不低于8小时；也可以使用车载电源直接供电。</w:t>
            </w:r>
          </w:p>
        </w:tc>
      </w:tr>
    </w:tbl>
    <w:p>
      <w:pPr>
        <w:pStyle w:val="4"/>
        <w:tabs>
          <w:tab w:val="left" w:pos="851"/>
          <w:tab w:val="left" w:pos="964"/>
        </w:tabs>
        <w:spacing w:after="330" w:line="240" w:lineRule="auto"/>
        <w:rPr>
          <w:rFonts w:asciiTheme="minorEastAsia" w:hAnsiTheme="minorEastAsia"/>
          <w:kern w:val="0"/>
          <w:sz w:val="28"/>
        </w:rPr>
      </w:pPr>
      <w:r>
        <w:rPr>
          <w:rFonts w:hint="eastAsia" w:asciiTheme="minorEastAsia" w:hAnsiTheme="minorEastAsia"/>
          <w:kern w:val="0"/>
          <w:sz w:val="28"/>
        </w:rPr>
        <w:t>5</w:t>
      </w:r>
      <w:r>
        <w:rPr>
          <w:rFonts w:asciiTheme="minorEastAsia" w:hAnsiTheme="minorEastAsia"/>
          <w:kern w:val="0"/>
          <w:sz w:val="28"/>
        </w:rPr>
        <w:t xml:space="preserve"> </w:t>
      </w:r>
      <w:r>
        <w:rPr>
          <w:rFonts w:hint="eastAsia" w:asciiTheme="minorEastAsia" w:hAnsiTheme="minorEastAsia"/>
          <w:kern w:val="0"/>
          <w:sz w:val="28"/>
        </w:rPr>
        <w:t>技术指标</w:t>
      </w:r>
    </w:p>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技术指标：</w:t>
      </w:r>
    </w:p>
    <w:tbl>
      <w:tblPr>
        <w:tblStyle w:val="25"/>
        <w:tblW w:w="823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技术指标</w:t>
            </w:r>
          </w:p>
        </w:tc>
        <w:tc>
          <w:tcPr>
            <w:tcW w:w="5812" w:type="dxa"/>
            <w:shd w:val="clear" w:color="auto" w:fill="auto"/>
            <w:vAlign w:val="center"/>
          </w:tcPr>
          <w:p>
            <w:pPr>
              <w:jc w:val="center"/>
              <w:rPr>
                <w:rFonts w:ascii="宋体" w:hAnsi="宋体"/>
                <w:sz w:val="24"/>
              </w:rPr>
            </w:pPr>
            <w:r>
              <w:rPr>
                <w:rFonts w:hint="eastAsia" w:ascii="宋体" w:hAnsi="宋体"/>
                <w:sz w:val="24"/>
              </w:rPr>
              <w:t>参  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设备供电</w:t>
            </w:r>
          </w:p>
        </w:tc>
        <w:tc>
          <w:tcPr>
            <w:tcW w:w="5812" w:type="dxa"/>
            <w:shd w:val="clear" w:color="auto" w:fill="auto"/>
            <w:vAlign w:val="center"/>
          </w:tcPr>
          <w:p>
            <w:pPr>
              <w:jc w:val="center"/>
              <w:rPr>
                <w:rFonts w:ascii="宋体" w:hAnsi="宋体"/>
                <w:sz w:val="24"/>
              </w:rPr>
            </w:pPr>
            <w:r>
              <w:rPr>
                <w:rFonts w:hint="eastAsia" w:ascii="宋体" w:hAnsi="宋体"/>
                <w:sz w:val="24"/>
              </w:rPr>
              <w:t>锂电池/车载供电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续航能力</w:t>
            </w:r>
          </w:p>
        </w:tc>
        <w:tc>
          <w:tcPr>
            <w:tcW w:w="5812" w:type="dxa"/>
            <w:shd w:val="clear" w:color="auto" w:fill="auto"/>
            <w:vAlign w:val="center"/>
          </w:tcPr>
          <w:p>
            <w:pPr>
              <w:jc w:val="center"/>
              <w:rPr>
                <w:rFonts w:ascii="宋体" w:hAnsi="宋体"/>
                <w:sz w:val="24"/>
              </w:rPr>
            </w:pPr>
            <w:r>
              <w:rPr>
                <w:rFonts w:hint="eastAsia" w:ascii="宋体" w:hAnsi="宋体"/>
                <w:sz w:val="24"/>
              </w:rPr>
              <w:t>大于5h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工作温度</w:t>
            </w:r>
          </w:p>
        </w:tc>
        <w:tc>
          <w:tcPr>
            <w:tcW w:w="5812" w:type="dxa"/>
            <w:shd w:val="clear" w:color="auto" w:fill="auto"/>
            <w:vAlign w:val="center"/>
          </w:tcPr>
          <w:p>
            <w:pPr>
              <w:jc w:val="center"/>
              <w:rPr>
                <w:rFonts w:ascii="宋体" w:hAnsi="宋体"/>
                <w:sz w:val="24"/>
              </w:rPr>
            </w:pPr>
            <w:r>
              <w:rPr>
                <w:rFonts w:hint="eastAsia" w:ascii="宋体" w:hAnsi="宋体"/>
                <w:sz w:val="24"/>
              </w:rPr>
              <w:t>-40℃～+60℃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通讯方式</w:t>
            </w:r>
          </w:p>
        </w:tc>
        <w:tc>
          <w:tcPr>
            <w:tcW w:w="5812" w:type="dxa"/>
            <w:shd w:val="clear" w:color="auto" w:fill="auto"/>
            <w:vAlign w:val="center"/>
          </w:tcPr>
          <w:p>
            <w:pPr>
              <w:jc w:val="center"/>
              <w:rPr>
                <w:rFonts w:ascii="宋体" w:hAnsi="宋体"/>
                <w:sz w:val="24"/>
              </w:rPr>
            </w:pPr>
            <w:r>
              <w:rPr>
                <w:rFonts w:hint="eastAsia" w:ascii="宋体" w:hAnsi="宋体"/>
                <w:sz w:val="24"/>
              </w:rPr>
              <w:t>2G/3G/4G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auto" w:fill="auto"/>
            <w:vAlign w:val="center"/>
          </w:tcPr>
          <w:p>
            <w:pPr>
              <w:rPr>
                <w:rFonts w:ascii="宋体" w:hAnsi="宋体"/>
                <w:sz w:val="24"/>
              </w:rPr>
            </w:pPr>
            <w:r>
              <w:rPr>
                <w:rFonts w:hint="eastAsia" w:ascii="宋体" w:hAnsi="宋体"/>
                <w:sz w:val="24"/>
              </w:rPr>
              <w:t>定位功能</w:t>
            </w:r>
          </w:p>
        </w:tc>
        <w:tc>
          <w:tcPr>
            <w:tcW w:w="5812" w:type="dxa"/>
            <w:shd w:val="clear" w:color="auto" w:fill="auto"/>
            <w:vAlign w:val="center"/>
          </w:tcPr>
          <w:p>
            <w:pPr>
              <w:jc w:val="center"/>
              <w:rPr>
                <w:rFonts w:ascii="宋体" w:hAnsi="宋体"/>
                <w:sz w:val="24"/>
              </w:rPr>
            </w:pPr>
            <w:r>
              <w:rPr>
                <w:rFonts w:hint="eastAsia" w:ascii="宋体" w:hAnsi="宋体"/>
                <w:sz w:val="24"/>
              </w:rPr>
              <w:t>GPS 定位</w:t>
            </w:r>
          </w:p>
        </w:tc>
      </w:tr>
    </w:tbl>
    <w:p>
      <w:pPr>
        <w:pStyle w:val="56"/>
        <w:numPr>
          <w:ilvl w:val="2"/>
          <w:numId w:val="3"/>
        </w:numPr>
        <w:spacing w:line="360" w:lineRule="auto"/>
        <w:ind w:firstLineChars="0"/>
        <w:rPr>
          <w:rStyle w:val="29"/>
          <w:rFonts w:ascii="宋体" w:hAnsi="宋体"/>
          <w:sz w:val="24"/>
          <w:szCs w:val="21"/>
        </w:rPr>
      </w:pPr>
      <w:r>
        <w:rPr>
          <w:rStyle w:val="29"/>
          <w:rFonts w:hint="eastAsia" w:ascii="宋体" w:hAnsi="宋体"/>
          <w:sz w:val="24"/>
          <w:szCs w:val="21"/>
        </w:rPr>
        <w:t>监测单元的检测参数指标：</w:t>
      </w:r>
    </w:p>
    <w:tbl>
      <w:tblPr>
        <w:tblStyle w:val="25"/>
        <w:tblW w:w="823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2268"/>
        <w:gridCol w:w="1985"/>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检测对象</w:t>
            </w:r>
          </w:p>
        </w:tc>
        <w:tc>
          <w:tcPr>
            <w:tcW w:w="2268" w:type="dxa"/>
            <w:shd w:val="clear" w:color="auto" w:fill="auto"/>
            <w:vAlign w:val="center"/>
          </w:tcPr>
          <w:p>
            <w:pPr>
              <w:rPr>
                <w:rFonts w:ascii="宋体" w:hAnsi="宋体"/>
                <w:sz w:val="24"/>
              </w:rPr>
            </w:pPr>
            <w:r>
              <w:rPr>
                <w:rFonts w:hint="eastAsia" w:ascii="宋体" w:hAnsi="宋体"/>
                <w:sz w:val="24"/>
              </w:rPr>
              <w:t>监测量程</w:t>
            </w:r>
          </w:p>
        </w:tc>
        <w:tc>
          <w:tcPr>
            <w:tcW w:w="1985" w:type="dxa"/>
            <w:shd w:val="clear" w:color="auto" w:fill="auto"/>
            <w:vAlign w:val="center"/>
          </w:tcPr>
          <w:p>
            <w:pPr>
              <w:rPr>
                <w:rFonts w:ascii="宋体" w:hAnsi="宋体"/>
                <w:sz w:val="24"/>
              </w:rPr>
            </w:pPr>
            <w:r>
              <w:rPr>
                <w:rFonts w:hint="eastAsia" w:ascii="宋体" w:hAnsi="宋体"/>
                <w:sz w:val="24"/>
              </w:rPr>
              <w:t>分辨率</w:t>
            </w:r>
          </w:p>
        </w:tc>
        <w:tc>
          <w:tcPr>
            <w:tcW w:w="1559" w:type="dxa"/>
            <w:shd w:val="clear" w:color="auto" w:fill="auto"/>
            <w:vAlign w:val="center"/>
          </w:tcPr>
          <w:p>
            <w:pPr>
              <w:rPr>
                <w:rFonts w:ascii="宋体" w:hAnsi="宋体"/>
                <w:sz w:val="24"/>
              </w:rPr>
            </w:pPr>
            <w:r>
              <w:rPr>
                <w:rFonts w:hint="eastAsia" w:ascii="宋体" w:hAnsi="宋体"/>
                <w:sz w:val="24"/>
              </w:rPr>
              <w:t>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237" w:type="dxa"/>
            <w:gridSpan w:val="4"/>
            <w:shd w:val="clear" w:color="000000" w:fill="FFFFFF" w:themeFill="background1"/>
            <w:vAlign w:val="center"/>
          </w:tcPr>
          <w:p>
            <w:pPr>
              <w:rPr>
                <w:rFonts w:hint="eastAsia" w:ascii="宋体" w:hAnsi="宋体"/>
                <w:sz w:val="24"/>
              </w:rPr>
            </w:pPr>
            <w:r>
              <w:rPr>
                <w:rFonts w:hint="eastAsia" w:ascii="宋体" w:hAnsi="宋体"/>
                <w:sz w:val="24"/>
              </w:rPr>
              <w:t>车底积尘监测单元（采样点）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highlight w:val="none"/>
              </w:rPr>
            </w:pPr>
            <w:r>
              <w:rPr>
                <w:rFonts w:hint="eastAsia" w:ascii="宋体" w:hAnsi="宋体"/>
                <w:sz w:val="24"/>
                <w:highlight w:val="none"/>
              </w:rPr>
              <w:t>道路积尘（75um以下）</w:t>
            </w:r>
          </w:p>
        </w:tc>
        <w:tc>
          <w:tcPr>
            <w:tcW w:w="2268" w:type="dxa"/>
            <w:shd w:val="clear" w:color="auto" w:fill="auto"/>
            <w:vAlign w:val="center"/>
          </w:tcPr>
          <w:p>
            <w:pPr>
              <w:rPr>
                <w:rFonts w:ascii="宋体" w:hAnsi="宋体"/>
                <w:sz w:val="24"/>
                <w:highlight w:val="none"/>
              </w:rPr>
            </w:pPr>
            <w:r>
              <w:rPr>
                <w:rFonts w:hint="eastAsia" w:ascii="宋体" w:hAnsi="宋体"/>
                <w:sz w:val="24"/>
                <w:highlight w:val="none"/>
              </w:rPr>
              <w:t>0～20g/m2</w:t>
            </w:r>
          </w:p>
        </w:tc>
        <w:tc>
          <w:tcPr>
            <w:tcW w:w="1985" w:type="dxa"/>
            <w:shd w:val="clear" w:color="auto" w:fill="auto"/>
            <w:vAlign w:val="center"/>
          </w:tcPr>
          <w:p>
            <w:pPr>
              <w:rPr>
                <w:rFonts w:ascii="宋体" w:hAnsi="宋体"/>
                <w:sz w:val="24"/>
                <w:highlight w:val="none"/>
              </w:rPr>
            </w:pPr>
            <w:r>
              <w:rPr>
                <w:rFonts w:hint="eastAsia" w:ascii="宋体" w:hAnsi="宋体"/>
                <w:sz w:val="24"/>
                <w:highlight w:val="none"/>
              </w:rPr>
              <w:t>0.01g/m2</w:t>
            </w:r>
          </w:p>
        </w:tc>
        <w:tc>
          <w:tcPr>
            <w:tcW w:w="1559" w:type="dxa"/>
            <w:shd w:val="clear" w:color="auto" w:fill="auto"/>
            <w:vAlign w:val="center"/>
          </w:tcPr>
          <w:p>
            <w:pPr>
              <w:rPr>
                <w:rFonts w:ascii="宋体" w:hAnsi="宋体"/>
                <w:sz w:val="24"/>
                <w:highlight w:val="none"/>
                <w:vertAlign w:val="superscript"/>
              </w:rPr>
            </w:pPr>
            <w:r>
              <w:rPr>
                <w:rFonts w:hint="eastAsia" w:ascii="宋体" w:hAnsi="宋体"/>
                <w:sz w:val="24"/>
                <w:highlight w:val="none"/>
              </w:rPr>
              <w:t>0.05g/m2</w:t>
            </w:r>
            <w:r>
              <w:rPr>
                <w:rFonts w:hint="eastAsia" w:ascii="宋体" w:hAnsi="宋体"/>
                <w:sz w:val="24"/>
                <w:highlight w:val="none"/>
                <w:vertAlign w:val="superscript"/>
              </w:rPr>
              <w:t>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rPr>
            </w:pPr>
            <w:r>
              <w:rPr>
                <w:rFonts w:ascii="宋体" w:hAnsi="宋体"/>
                <w:sz w:val="24"/>
              </w:rPr>
              <w:t>采样流量</w:t>
            </w:r>
          </w:p>
        </w:tc>
        <w:tc>
          <w:tcPr>
            <w:tcW w:w="2268" w:type="dxa"/>
            <w:shd w:val="clear" w:color="auto" w:fill="auto"/>
            <w:vAlign w:val="center"/>
          </w:tcPr>
          <w:p>
            <w:pPr>
              <w:rPr>
                <w:rFonts w:ascii="宋体" w:hAnsi="宋体"/>
                <w:sz w:val="24"/>
              </w:rPr>
            </w:pPr>
            <w:r>
              <w:rPr>
                <w:rFonts w:hint="eastAsia" w:ascii="宋体" w:hAnsi="宋体"/>
                <w:sz w:val="24"/>
              </w:rPr>
              <w:t>20L/min</w:t>
            </w:r>
          </w:p>
        </w:tc>
        <w:tc>
          <w:tcPr>
            <w:tcW w:w="1985" w:type="dxa"/>
            <w:shd w:val="clear" w:color="auto" w:fill="auto"/>
            <w:vAlign w:val="center"/>
          </w:tcPr>
          <w:p>
            <w:pPr>
              <w:rPr>
                <w:rFonts w:ascii="宋体" w:hAnsi="宋体"/>
                <w:sz w:val="24"/>
              </w:rPr>
            </w:pPr>
            <w:r>
              <w:rPr>
                <w:rFonts w:hint="eastAsia" w:ascii="宋体" w:hAnsi="宋体"/>
                <w:sz w:val="24"/>
              </w:rPr>
              <w:t>0.1L/min</w:t>
            </w:r>
          </w:p>
        </w:tc>
        <w:tc>
          <w:tcPr>
            <w:tcW w:w="1559" w:type="dxa"/>
            <w:shd w:val="clear" w:color="auto" w:fill="auto"/>
            <w:vAlign w:val="center"/>
          </w:tcPr>
          <w:p>
            <w:pPr>
              <w:rPr>
                <w:rFonts w:ascii="宋体" w:hAnsi="宋体"/>
                <w:sz w:val="24"/>
              </w:rPr>
            </w:pPr>
            <w:r>
              <w:rPr>
                <w:rFonts w:hint="eastAsia" w:ascii="宋体" w:hAnsi="宋体"/>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rPr>
            </w:pPr>
            <w:r>
              <w:rPr>
                <w:rFonts w:ascii="宋体" w:hAnsi="宋体"/>
                <w:sz w:val="24"/>
              </w:rPr>
              <w:t>采样流速</w:t>
            </w:r>
          </w:p>
        </w:tc>
        <w:tc>
          <w:tcPr>
            <w:tcW w:w="2268" w:type="dxa"/>
            <w:shd w:val="clear" w:color="auto" w:fill="auto"/>
            <w:vAlign w:val="center"/>
          </w:tcPr>
          <w:p>
            <w:pPr>
              <w:rPr>
                <w:rFonts w:ascii="宋体" w:hAnsi="宋体"/>
                <w:sz w:val="24"/>
              </w:rPr>
            </w:pPr>
            <w:r>
              <w:rPr>
                <w:rFonts w:hint="eastAsia" w:ascii="宋体" w:hAnsi="宋体"/>
                <w:sz w:val="24"/>
              </w:rPr>
              <w:t>0.1～20m/s</w:t>
            </w:r>
          </w:p>
        </w:tc>
        <w:tc>
          <w:tcPr>
            <w:tcW w:w="1985" w:type="dxa"/>
            <w:shd w:val="clear" w:color="auto" w:fill="auto"/>
            <w:vAlign w:val="center"/>
          </w:tcPr>
          <w:p>
            <w:pPr>
              <w:rPr>
                <w:rFonts w:ascii="宋体" w:hAnsi="宋体"/>
                <w:sz w:val="24"/>
              </w:rPr>
            </w:pPr>
            <w:r>
              <w:rPr>
                <w:rFonts w:hint="eastAsia" w:ascii="宋体" w:hAnsi="宋体"/>
                <w:sz w:val="24"/>
              </w:rPr>
              <w:t>0.1m/s</w:t>
            </w:r>
          </w:p>
        </w:tc>
        <w:tc>
          <w:tcPr>
            <w:tcW w:w="1559" w:type="dxa"/>
            <w:shd w:val="clear" w:color="auto" w:fill="auto"/>
            <w:vAlign w:val="center"/>
          </w:tcPr>
          <w:p>
            <w:pPr>
              <w:rPr>
                <w:rFonts w:ascii="宋体" w:hAnsi="宋体"/>
                <w:sz w:val="24"/>
              </w:rPr>
            </w:pPr>
            <w:r>
              <w:rPr>
                <w:rFonts w:hint="eastAsia" w:ascii="宋体"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rPr>
            </w:pPr>
            <w:r>
              <w:rPr>
                <w:rFonts w:ascii="宋体" w:hAnsi="宋体"/>
                <w:sz w:val="24"/>
              </w:rPr>
              <w:t>响应时间</w:t>
            </w:r>
          </w:p>
        </w:tc>
        <w:tc>
          <w:tcPr>
            <w:tcW w:w="5812" w:type="dxa"/>
            <w:gridSpan w:val="3"/>
            <w:shd w:val="clear" w:color="auto" w:fill="auto"/>
            <w:vAlign w:val="center"/>
          </w:tcPr>
          <w:p>
            <w:pPr>
              <w:rPr>
                <w:rFonts w:ascii="宋体" w:hAnsi="宋体"/>
                <w:sz w:val="24"/>
              </w:rPr>
            </w:pPr>
            <w:r>
              <w:rPr>
                <w:rFonts w:ascii="宋体" w:hAnsi="宋体"/>
                <w:sz w:val="24"/>
              </w:rPr>
              <w:t>≤</w:t>
            </w:r>
            <w:r>
              <w:rPr>
                <w:rFonts w:hint="eastAsia" w:ascii="宋体" w:hAnsi="宋体"/>
                <w:sz w:val="24"/>
              </w:rPr>
              <w: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237" w:type="dxa"/>
            <w:gridSpan w:val="4"/>
            <w:shd w:val="clear" w:color="000000" w:fill="FFFFFF" w:themeFill="background1"/>
            <w:vAlign w:val="center"/>
          </w:tcPr>
          <w:p>
            <w:pPr>
              <w:rPr>
                <w:rFonts w:ascii="宋体" w:hAnsi="宋体"/>
                <w:sz w:val="24"/>
              </w:rPr>
            </w:pPr>
            <w:r>
              <w:rPr>
                <w:rFonts w:ascii="宋体" w:hAnsi="宋体"/>
                <w:sz w:val="24"/>
              </w:rPr>
              <w:t>背景监测单元</w:t>
            </w:r>
            <w:r>
              <w:rPr>
                <w:rFonts w:hint="eastAsia" w:ascii="宋体" w:hAnsi="宋体"/>
                <w:sz w:val="24"/>
              </w:rPr>
              <w:t>（对照点）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PM2.5</w:t>
            </w:r>
          </w:p>
        </w:tc>
        <w:tc>
          <w:tcPr>
            <w:tcW w:w="2268" w:type="dxa"/>
            <w:shd w:val="clear" w:color="auto" w:fill="auto"/>
            <w:vAlign w:val="center"/>
          </w:tcPr>
          <w:p>
            <w:pPr>
              <w:rPr>
                <w:rFonts w:ascii="宋体" w:hAnsi="宋体"/>
                <w:sz w:val="24"/>
              </w:rPr>
            </w:pPr>
            <w:r>
              <w:rPr>
                <w:rFonts w:hint="eastAsia" w:ascii="宋体" w:hAnsi="宋体"/>
                <w:sz w:val="24"/>
              </w:rPr>
              <w:t>0～1mg/m3</w:t>
            </w:r>
          </w:p>
        </w:tc>
        <w:tc>
          <w:tcPr>
            <w:tcW w:w="1985" w:type="dxa"/>
            <w:shd w:val="clear" w:color="auto" w:fill="auto"/>
            <w:vAlign w:val="center"/>
          </w:tcPr>
          <w:p>
            <w:pPr>
              <w:rPr>
                <w:rFonts w:ascii="宋体" w:hAnsi="宋体"/>
                <w:sz w:val="24"/>
              </w:rPr>
            </w:pPr>
            <w:r>
              <w:rPr>
                <w:rFonts w:hint="eastAsia" w:ascii="宋体" w:hAnsi="宋体"/>
                <w:sz w:val="24"/>
              </w:rPr>
              <w:t>1ug/m3</w:t>
            </w:r>
          </w:p>
        </w:tc>
        <w:tc>
          <w:tcPr>
            <w:tcW w:w="1559" w:type="dxa"/>
            <w:shd w:val="clear" w:color="auto" w:fill="auto"/>
            <w:vAlign w:val="center"/>
          </w:tcPr>
          <w:p>
            <w:pPr>
              <w:rPr>
                <w:rFonts w:ascii="宋体" w:hAnsi="宋体"/>
                <w:sz w:val="24"/>
                <w:highlight w:val="none"/>
              </w:rPr>
            </w:pPr>
            <w:r>
              <w:rPr>
                <w:rFonts w:hint="eastAsia" w:ascii="宋体" w:hAnsi="宋体"/>
                <w:sz w:val="24"/>
                <w:highlight w:val="none"/>
              </w:rPr>
              <w:t>10ug/m3</w:t>
            </w:r>
            <w:r>
              <w:rPr>
                <w:rFonts w:hint="eastAsia" w:ascii="宋体" w:hAnsi="宋体"/>
                <w:sz w:val="24"/>
                <w:highlight w:val="none"/>
                <w:vertAlign w:val="superscript"/>
              </w:rPr>
              <w:t>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hint="eastAsia" w:ascii="宋体" w:hAnsi="宋体"/>
                <w:sz w:val="24"/>
              </w:rPr>
            </w:pPr>
            <w:r>
              <w:rPr>
                <w:rFonts w:hint="eastAsia" w:ascii="宋体" w:hAnsi="宋体"/>
                <w:sz w:val="24"/>
              </w:rPr>
              <w:t>PM10</w:t>
            </w:r>
          </w:p>
        </w:tc>
        <w:tc>
          <w:tcPr>
            <w:tcW w:w="2268" w:type="dxa"/>
            <w:shd w:val="clear" w:color="auto" w:fill="auto"/>
            <w:vAlign w:val="center"/>
          </w:tcPr>
          <w:p>
            <w:pPr>
              <w:rPr>
                <w:rFonts w:hint="eastAsia" w:ascii="宋体" w:hAnsi="宋体"/>
                <w:sz w:val="24"/>
              </w:rPr>
            </w:pPr>
            <w:r>
              <w:rPr>
                <w:rFonts w:hint="eastAsia" w:ascii="宋体" w:hAnsi="宋体"/>
                <w:sz w:val="24"/>
              </w:rPr>
              <w:t>0～2mg/m3</w:t>
            </w:r>
          </w:p>
        </w:tc>
        <w:tc>
          <w:tcPr>
            <w:tcW w:w="1985" w:type="dxa"/>
            <w:shd w:val="clear" w:color="auto" w:fill="auto"/>
            <w:vAlign w:val="center"/>
          </w:tcPr>
          <w:p>
            <w:pPr>
              <w:rPr>
                <w:rFonts w:hint="eastAsia" w:ascii="宋体" w:hAnsi="宋体"/>
                <w:sz w:val="24"/>
              </w:rPr>
            </w:pPr>
            <w:r>
              <w:rPr>
                <w:rFonts w:hint="eastAsia" w:ascii="宋体" w:hAnsi="宋体"/>
                <w:sz w:val="24"/>
              </w:rPr>
              <w:t>1ug/m3</w:t>
            </w:r>
          </w:p>
        </w:tc>
        <w:tc>
          <w:tcPr>
            <w:tcW w:w="1559" w:type="dxa"/>
            <w:shd w:val="clear" w:color="auto" w:fill="auto"/>
            <w:vAlign w:val="center"/>
          </w:tcPr>
          <w:p>
            <w:pPr>
              <w:rPr>
                <w:rFonts w:hint="eastAsia" w:ascii="宋体" w:hAnsi="宋体"/>
                <w:sz w:val="24"/>
                <w:highlight w:val="none"/>
              </w:rPr>
            </w:pPr>
            <w:r>
              <w:rPr>
                <w:rFonts w:hint="eastAsia" w:ascii="宋体" w:hAnsi="宋体"/>
                <w:sz w:val="24"/>
                <w:highlight w:val="none"/>
              </w:rPr>
              <w:t>15ug/m3</w:t>
            </w:r>
            <w:r>
              <w:rPr>
                <w:rFonts w:hint="eastAsia" w:ascii="宋体" w:hAnsi="宋体"/>
                <w:sz w:val="24"/>
                <w:highlight w:val="none"/>
                <w:vertAlign w:val="superscript"/>
              </w:rPr>
              <w:t>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hint="eastAsia" w:ascii="宋体" w:hAnsi="宋体"/>
                <w:sz w:val="24"/>
              </w:rPr>
            </w:pPr>
            <w:r>
              <w:rPr>
                <w:rFonts w:hint="eastAsia" w:ascii="宋体" w:hAnsi="宋体"/>
                <w:sz w:val="24"/>
              </w:rPr>
              <w:t>TSP</w:t>
            </w:r>
          </w:p>
        </w:tc>
        <w:tc>
          <w:tcPr>
            <w:tcW w:w="2268" w:type="dxa"/>
            <w:shd w:val="clear" w:color="auto" w:fill="auto"/>
            <w:vAlign w:val="center"/>
          </w:tcPr>
          <w:p>
            <w:pPr>
              <w:rPr>
                <w:rFonts w:hint="eastAsia" w:ascii="宋体" w:hAnsi="宋体"/>
                <w:sz w:val="24"/>
              </w:rPr>
            </w:pPr>
            <w:r>
              <w:rPr>
                <w:rFonts w:hint="eastAsia" w:ascii="宋体" w:hAnsi="宋体"/>
                <w:sz w:val="24"/>
              </w:rPr>
              <w:t>0～30mg/m3</w:t>
            </w:r>
          </w:p>
        </w:tc>
        <w:tc>
          <w:tcPr>
            <w:tcW w:w="1985" w:type="dxa"/>
            <w:shd w:val="clear" w:color="auto" w:fill="auto"/>
            <w:vAlign w:val="center"/>
          </w:tcPr>
          <w:p>
            <w:pPr>
              <w:rPr>
                <w:rFonts w:hint="eastAsia" w:ascii="宋体" w:hAnsi="宋体"/>
                <w:sz w:val="24"/>
              </w:rPr>
            </w:pPr>
            <w:r>
              <w:rPr>
                <w:rFonts w:hint="eastAsia" w:ascii="宋体" w:hAnsi="宋体"/>
                <w:sz w:val="24"/>
              </w:rPr>
              <w:t>1ug/m3</w:t>
            </w:r>
          </w:p>
        </w:tc>
        <w:tc>
          <w:tcPr>
            <w:tcW w:w="1559" w:type="dxa"/>
            <w:shd w:val="clear" w:color="auto" w:fill="auto"/>
            <w:vAlign w:val="center"/>
          </w:tcPr>
          <w:p>
            <w:pPr>
              <w:rPr>
                <w:rFonts w:hint="eastAsia" w:ascii="宋体" w:hAnsi="宋体"/>
                <w:sz w:val="24"/>
              </w:rPr>
            </w:pPr>
            <w:r>
              <w:rPr>
                <w:rFonts w:hint="eastAsia" w:ascii="宋体" w:hAnsi="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237" w:type="dxa"/>
            <w:gridSpan w:val="4"/>
            <w:shd w:val="clear" w:color="000000" w:fill="FFFFFF" w:themeFill="background1"/>
            <w:vAlign w:val="center"/>
          </w:tcPr>
          <w:p>
            <w:pPr>
              <w:rPr>
                <w:rFonts w:hint="eastAsia" w:ascii="宋体" w:hAnsi="宋体"/>
                <w:sz w:val="24"/>
              </w:rPr>
            </w:pPr>
            <w:r>
              <w:rPr>
                <w:rFonts w:ascii="宋体" w:hAnsi="宋体"/>
                <w:sz w:val="24"/>
              </w:rPr>
              <w:t>气象监测单元</w:t>
            </w:r>
            <w:r>
              <w:rPr>
                <w:rFonts w:hint="eastAsia" w:ascii="宋体" w:hAnsi="宋体"/>
                <w:sz w:val="24"/>
              </w:rPr>
              <w:t>（选配）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425" w:type="dxa"/>
            <w:shd w:val="clear" w:color="000000" w:fill="FFFFFF" w:themeFill="background1"/>
            <w:vAlign w:val="center"/>
          </w:tcPr>
          <w:p>
            <w:pPr>
              <w:rPr>
                <w:rFonts w:hint="eastAsia" w:ascii="宋体" w:hAnsi="宋体"/>
                <w:sz w:val="24"/>
              </w:rPr>
            </w:pPr>
            <w:r>
              <w:rPr>
                <w:rFonts w:hint="eastAsia" w:ascii="宋体" w:hAnsi="宋体"/>
                <w:sz w:val="24"/>
              </w:rPr>
              <w:t>温度</w:t>
            </w:r>
          </w:p>
        </w:tc>
        <w:tc>
          <w:tcPr>
            <w:tcW w:w="2268" w:type="dxa"/>
            <w:shd w:val="clear" w:color="auto" w:fill="auto"/>
            <w:vAlign w:val="center"/>
          </w:tcPr>
          <w:p>
            <w:pPr>
              <w:rPr>
                <w:rFonts w:hint="eastAsia" w:ascii="宋体" w:hAnsi="宋体"/>
                <w:sz w:val="24"/>
              </w:rPr>
            </w:pPr>
            <w:r>
              <w:rPr>
                <w:rFonts w:hint="eastAsia" w:ascii="宋体" w:hAnsi="宋体"/>
                <w:sz w:val="24"/>
              </w:rPr>
              <w:t>-40 ~ +120℃</w:t>
            </w:r>
          </w:p>
        </w:tc>
        <w:tc>
          <w:tcPr>
            <w:tcW w:w="1985" w:type="dxa"/>
            <w:shd w:val="clear" w:color="auto" w:fill="auto"/>
            <w:vAlign w:val="center"/>
          </w:tcPr>
          <w:p>
            <w:pPr>
              <w:rPr>
                <w:rFonts w:hint="eastAsia" w:ascii="宋体" w:hAnsi="宋体"/>
                <w:sz w:val="24"/>
              </w:rPr>
            </w:pPr>
            <w:r>
              <w:rPr>
                <w:rFonts w:hint="eastAsia" w:ascii="宋体" w:hAnsi="宋体"/>
                <w:sz w:val="24"/>
              </w:rPr>
              <w:t>0.10℃</w:t>
            </w:r>
          </w:p>
        </w:tc>
        <w:tc>
          <w:tcPr>
            <w:tcW w:w="1559" w:type="dxa"/>
            <w:shd w:val="clear" w:color="auto" w:fill="auto"/>
          </w:tcPr>
          <w:p>
            <w:pPr>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湿度</w:t>
            </w:r>
          </w:p>
        </w:tc>
        <w:tc>
          <w:tcPr>
            <w:tcW w:w="2268" w:type="dxa"/>
            <w:shd w:val="clear" w:color="auto" w:fill="auto"/>
            <w:vAlign w:val="center"/>
          </w:tcPr>
          <w:p>
            <w:pPr>
              <w:rPr>
                <w:rFonts w:ascii="宋体" w:hAnsi="宋体"/>
                <w:sz w:val="24"/>
              </w:rPr>
            </w:pPr>
            <w:r>
              <w:rPr>
                <w:rFonts w:hint="eastAsia" w:ascii="宋体" w:hAnsi="宋体"/>
                <w:sz w:val="24"/>
              </w:rPr>
              <w:t>0~100%RH</w:t>
            </w:r>
          </w:p>
        </w:tc>
        <w:tc>
          <w:tcPr>
            <w:tcW w:w="1985" w:type="dxa"/>
            <w:shd w:val="clear" w:color="auto" w:fill="auto"/>
            <w:vAlign w:val="center"/>
          </w:tcPr>
          <w:p>
            <w:pPr>
              <w:rPr>
                <w:rFonts w:ascii="宋体" w:hAnsi="宋体"/>
                <w:sz w:val="24"/>
              </w:rPr>
            </w:pPr>
            <w:r>
              <w:rPr>
                <w:rFonts w:hint="eastAsia" w:ascii="宋体" w:hAnsi="宋体"/>
                <w:sz w:val="24"/>
              </w:rPr>
              <w:t>0.1%RH</w:t>
            </w:r>
          </w:p>
        </w:tc>
        <w:tc>
          <w:tcPr>
            <w:tcW w:w="1559" w:type="dxa"/>
            <w:shd w:val="clear" w:color="auto" w:fill="auto"/>
          </w:tcPr>
          <w:p>
            <w:pPr>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风向</w:t>
            </w:r>
          </w:p>
        </w:tc>
        <w:tc>
          <w:tcPr>
            <w:tcW w:w="2268" w:type="dxa"/>
            <w:shd w:val="clear" w:color="auto" w:fill="auto"/>
            <w:vAlign w:val="center"/>
          </w:tcPr>
          <w:p>
            <w:pPr>
              <w:rPr>
                <w:rFonts w:ascii="宋体" w:hAnsi="宋体"/>
                <w:sz w:val="24"/>
              </w:rPr>
            </w:pPr>
            <w:r>
              <w:rPr>
                <w:rFonts w:ascii="宋体" w:hAnsi="宋体"/>
                <w:sz w:val="24"/>
              </w:rPr>
              <w:t>0</w:t>
            </w:r>
            <w:r>
              <w:rPr>
                <w:rFonts w:hint="eastAsia" w:ascii="宋体" w:hAnsi="宋体"/>
                <w:sz w:val="24"/>
              </w:rPr>
              <w:t>～</w:t>
            </w:r>
            <w:r>
              <w:rPr>
                <w:rFonts w:ascii="宋体" w:hAnsi="宋体"/>
                <w:sz w:val="24"/>
              </w:rPr>
              <w:t>360</w:t>
            </w:r>
            <w:r>
              <w:rPr>
                <w:rFonts w:hint="eastAsia" w:ascii="宋体" w:hAnsi="宋体"/>
                <w:sz w:val="24"/>
              </w:rPr>
              <w:t>°</w:t>
            </w:r>
          </w:p>
        </w:tc>
        <w:tc>
          <w:tcPr>
            <w:tcW w:w="1985" w:type="dxa"/>
            <w:shd w:val="clear" w:color="auto" w:fill="auto"/>
            <w:vAlign w:val="center"/>
          </w:tcPr>
          <w:p>
            <w:pPr>
              <w:rPr>
                <w:rFonts w:ascii="宋体" w:hAnsi="宋体"/>
                <w:sz w:val="24"/>
              </w:rPr>
            </w:pPr>
            <w:r>
              <w:rPr>
                <w:rFonts w:hint="eastAsia" w:ascii="宋体" w:hAnsi="宋体"/>
                <w:sz w:val="24"/>
              </w:rPr>
              <w:t>1</w:t>
            </w:r>
            <w:r>
              <w:rPr>
                <w:rFonts w:hint="eastAsia" w:ascii="宋体" w:hAnsi="宋体" w:cs="宋体"/>
                <w:kern w:val="0"/>
                <w:sz w:val="22"/>
              </w:rPr>
              <w:t>°</w:t>
            </w:r>
          </w:p>
        </w:tc>
        <w:tc>
          <w:tcPr>
            <w:tcW w:w="1559" w:type="dxa"/>
            <w:shd w:val="clear" w:color="auto" w:fill="auto"/>
          </w:tcPr>
          <w:p>
            <w:r>
              <w:rPr>
                <w:rFonts w:hint="eastAsia" w:ascii="宋体" w:hAnsi="宋体"/>
                <w:sz w:val="24"/>
              </w:rPr>
              <w:t>±</w:t>
            </w:r>
            <w:r>
              <w:rPr>
                <w:rFonts w:ascii="宋体" w:hAnsi="宋体"/>
                <w:sz w:val="24"/>
              </w:rPr>
              <w:t>3</w:t>
            </w:r>
            <w:r>
              <w:rPr>
                <w:rFonts w:hint="eastAsia" w:ascii="宋体" w:hAnsi="宋体" w:cs="宋体"/>
                <w:kern w:val="0"/>
                <w:sz w:val="22"/>
              </w:rPr>
              <w:t>°</w:t>
            </w:r>
            <w:bookmarkStart w:id="5" w:name="_GoBack"/>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风速</w:t>
            </w:r>
          </w:p>
        </w:tc>
        <w:tc>
          <w:tcPr>
            <w:tcW w:w="2268" w:type="dxa"/>
            <w:shd w:val="clear" w:color="auto" w:fill="auto"/>
            <w:vAlign w:val="center"/>
          </w:tcPr>
          <w:p>
            <w:pPr>
              <w:rPr>
                <w:rFonts w:ascii="宋体" w:hAnsi="宋体"/>
                <w:sz w:val="24"/>
              </w:rPr>
            </w:pPr>
            <w:r>
              <w:rPr>
                <w:rFonts w:ascii="宋体" w:hAnsi="宋体"/>
                <w:sz w:val="24"/>
              </w:rPr>
              <w:t>0</w:t>
            </w:r>
            <w:r>
              <w:rPr>
                <w:rFonts w:hint="eastAsia" w:ascii="宋体" w:hAnsi="宋体"/>
                <w:sz w:val="24"/>
              </w:rPr>
              <w:t>～</w:t>
            </w:r>
            <w:r>
              <w:rPr>
                <w:rFonts w:ascii="宋体" w:hAnsi="宋体"/>
                <w:sz w:val="24"/>
              </w:rPr>
              <w:t>60m/s </w:t>
            </w:r>
          </w:p>
        </w:tc>
        <w:tc>
          <w:tcPr>
            <w:tcW w:w="1985" w:type="dxa"/>
            <w:shd w:val="clear" w:color="auto" w:fill="auto"/>
            <w:vAlign w:val="center"/>
          </w:tcPr>
          <w:p>
            <w:pPr>
              <w:rPr>
                <w:rFonts w:ascii="宋体" w:hAnsi="宋体"/>
                <w:sz w:val="24"/>
              </w:rPr>
            </w:pPr>
            <w:r>
              <w:rPr>
                <w:rFonts w:hint="eastAsia" w:ascii="宋体" w:hAnsi="宋体"/>
                <w:sz w:val="24"/>
              </w:rPr>
              <w:t>0.1m/s</w:t>
            </w:r>
          </w:p>
        </w:tc>
        <w:tc>
          <w:tcPr>
            <w:tcW w:w="1559" w:type="dxa"/>
            <w:shd w:val="clear" w:color="auto" w:fill="auto"/>
          </w:tcPr>
          <w:p>
            <w:r>
              <w:rPr>
                <w:rFonts w:hint="eastAsia" w:ascii="宋体" w:hAnsi="宋体"/>
                <w:sz w:val="24"/>
              </w:rPr>
              <w:t>±</w:t>
            </w:r>
            <w:r>
              <w:rPr>
                <w:rFonts w:ascii="宋体" w:hAnsi="宋体"/>
                <w:sz w:val="24"/>
              </w:rPr>
              <w:t>0.3</w:t>
            </w:r>
            <w:r>
              <w:rPr>
                <w:rFonts w:hint="eastAsia" w:ascii="宋体" w:hAnsi="宋体"/>
                <w:sz w:val="24"/>
              </w:rPr>
              <w:t xml:space="preserve">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25" w:type="dxa"/>
            <w:shd w:val="clear" w:color="000000" w:fill="FFFFFF" w:themeFill="background1"/>
            <w:vAlign w:val="center"/>
          </w:tcPr>
          <w:p>
            <w:pPr>
              <w:rPr>
                <w:rFonts w:ascii="宋体" w:hAnsi="宋体"/>
                <w:sz w:val="24"/>
              </w:rPr>
            </w:pPr>
            <w:r>
              <w:rPr>
                <w:rFonts w:hint="eastAsia" w:ascii="宋体" w:hAnsi="宋体"/>
                <w:sz w:val="24"/>
              </w:rPr>
              <w:t>气压</w:t>
            </w:r>
          </w:p>
        </w:tc>
        <w:tc>
          <w:tcPr>
            <w:tcW w:w="2268" w:type="dxa"/>
            <w:shd w:val="clear" w:color="auto" w:fill="auto"/>
            <w:vAlign w:val="center"/>
          </w:tcPr>
          <w:p>
            <w:pPr>
              <w:rPr>
                <w:rFonts w:ascii="宋体" w:hAnsi="宋体"/>
                <w:sz w:val="24"/>
              </w:rPr>
            </w:pPr>
            <w:r>
              <w:rPr>
                <w:rFonts w:hint="eastAsia" w:ascii="宋体" w:hAnsi="宋体"/>
                <w:sz w:val="24"/>
              </w:rPr>
              <w:t>100～1200hpa </w:t>
            </w:r>
          </w:p>
        </w:tc>
        <w:tc>
          <w:tcPr>
            <w:tcW w:w="1985" w:type="dxa"/>
            <w:shd w:val="clear" w:color="auto" w:fill="auto"/>
            <w:vAlign w:val="center"/>
          </w:tcPr>
          <w:p>
            <w:pPr>
              <w:rPr>
                <w:rFonts w:ascii="宋体" w:hAnsi="宋体"/>
                <w:sz w:val="24"/>
              </w:rPr>
            </w:pPr>
            <w:r>
              <w:rPr>
                <w:rFonts w:hint="eastAsia" w:ascii="宋体" w:hAnsi="宋体"/>
                <w:sz w:val="24"/>
              </w:rPr>
              <w:t>0.1hpa</w:t>
            </w:r>
          </w:p>
        </w:tc>
        <w:tc>
          <w:tcPr>
            <w:tcW w:w="1559" w:type="dxa"/>
            <w:shd w:val="clear" w:color="auto" w:fill="auto"/>
          </w:tcPr>
          <w:p>
            <w:r>
              <w:rPr>
                <w:rFonts w:hint="eastAsia" w:ascii="宋体" w:hAnsi="宋体"/>
                <w:sz w:val="24"/>
              </w:rPr>
              <w:t>±0.5</w:t>
            </w:r>
            <w:r>
              <w:rPr>
                <w:rFonts w:ascii="宋体" w:hAnsi="宋体"/>
                <w:sz w:val="24"/>
              </w:rPr>
              <w:t>hpa</w:t>
            </w:r>
          </w:p>
        </w:tc>
      </w:tr>
    </w:tbl>
    <w:p/>
    <w:p>
      <w:r>
        <w:t>注</w:t>
      </w:r>
      <w:r>
        <w:rPr>
          <w:rFonts w:hint="eastAsia"/>
        </w:rPr>
        <w:t>1：检出限</w:t>
      </w:r>
    </w:p>
    <w:bookmarkEnd w:id="1"/>
    <w:bookmarkEnd w:id="2"/>
    <w:p>
      <w:pPr>
        <w:pStyle w:val="4"/>
        <w:tabs>
          <w:tab w:val="left" w:pos="851"/>
          <w:tab w:val="left" w:pos="964"/>
        </w:tabs>
        <w:spacing w:after="330" w:line="240" w:lineRule="auto"/>
        <w:rPr>
          <w:rFonts w:asciiTheme="minorEastAsia" w:hAnsiTheme="minorEastAsia"/>
          <w:kern w:val="0"/>
          <w:sz w:val="28"/>
        </w:rPr>
      </w:pPr>
      <w:r>
        <w:rPr>
          <w:rFonts w:hint="eastAsia" w:asciiTheme="minorEastAsia" w:hAnsiTheme="minorEastAsia"/>
          <w:kern w:val="0"/>
          <w:sz w:val="28"/>
        </w:rPr>
        <w:t>6 数据汇总</w:t>
      </w:r>
    </w:p>
    <w:p>
      <w:pPr>
        <w:spacing w:line="360" w:lineRule="auto"/>
        <w:ind w:firstLine="480" w:firstLineChars="200"/>
        <w:rPr>
          <w:bCs/>
          <w:color w:val="000000"/>
          <w:sz w:val="24"/>
        </w:rPr>
      </w:pPr>
      <w:r>
        <w:rPr>
          <w:bCs/>
          <w:color w:val="000000"/>
          <w:sz w:val="24"/>
        </w:rPr>
        <w:t>数据汇总中心</w:t>
      </w:r>
      <w:r>
        <w:rPr>
          <w:rFonts w:hint="eastAsia"/>
          <w:bCs/>
          <w:color w:val="000000"/>
          <w:sz w:val="24"/>
        </w:rPr>
        <w:t>实时接收监测车辆行驶过程中采集的道路扬尘数据，通过大数据算法，计算出路面积尘情况，并根据车速和车重车型，计算出该道路的交通扬尘排放因子，为市内各路段进行潜在扬尘排放统计。可查询监测点位及走航监测系统的巡航轨迹，各道路的积尘数据，并通过系统计算将数据整理成报告，可支持导出等服务。</w:t>
      </w:r>
    </w:p>
    <w:p>
      <w:pPr>
        <w:spacing w:line="360" w:lineRule="auto"/>
        <w:ind w:firstLine="720" w:firstLineChars="300"/>
        <w:rPr>
          <w:bCs/>
          <w:color w:val="000000"/>
          <w:sz w:val="24"/>
        </w:rPr>
      </w:pPr>
      <w:r>
        <w:rPr>
          <w:rFonts w:hint="eastAsia"/>
          <w:bCs/>
          <w:color w:val="000000"/>
          <w:sz w:val="24"/>
        </w:rPr>
        <w:t>平台预留数据接口，采用标准的环保系统通讯协议，可以对接平台与省、市、地方各级环保监测系统。</w:t>
      </w:r>
    </w:p>
    <w:p>
      <w:pPr>
        <w:spacing w:line="360" w:lineRule="auto"/>
        <w:jc w:val="center"/>
      </w:pPr>
      <w:r>
        <w:drawing>
          <wp:inline distT="0" distB="0" distL="0" distR="0">
            <wp:extent cx="5191125" cy="2498090"/>
            <wp:effectExtent l="0" t="0" r="9525"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191125" cy="2498090"/>
                    </a:xfrm>
                    <a:prstGeom prst="rect">
                      <a:avLst/>
                    </a:prstGeom>
                  </pic:spPr>
                </pic:pic>
              </a:graphicData>
            </a:graphic>
          </wp:inline>
        </w:drawing>
      </w:r>
    </w:p>
    <w:sectPr>
      <w:headerReference r:id="rId3" w:type="default"/>
      <w:footerReference r:id="rId4" w:type="default"/>
      <w:type w:val="continuous"/>
      <w:pgSz w:w="11906" w:h="16838"/>
      <w:pgMar w:top="1440" w:right="1800" w:bottom="1440" w:left="1800" w:header="1134" w:footer="102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BatangChe">
    <w:altName w:val="Adobe Myungjo Std M"/>
    <w:panose1 w:val="00000000000000000000"/>
    <w:charset w:val="81"/>
    <w:family w:val="modern"/>
    <w:pitch w:val="default"/>
    <w:sig w:usb0="00000000" w:usb1="00000000" w:usb2="00000030" w:usb3="00000000" w:csb0="0008009F" w:csb1="00000000"/>
  </w:font>
  <w:font w:name="Arial Unicode MS">
    <w:panose1 w:val="020B0604020202020204"/>
    <w:charset w:val="86"/>
    <w:family w:val="auto"/>
    <w:pitch w:val="default"/>
    <w:sig w:usb0="FFFFFFFF" w:usb1="E9FFFFFF" w:usb2="0000003F" w:usb3="00000000" w:csb0="603F01FF" w:csb1="FFFF0000"/>
  </w:font>
  <w:font w:name="Adobe Myungjo Std M">
    <w:panose1 w:val="02020600000000000000"/>
    <w:charset w:val="80"/>
    <w:family w:val="auto"/>
    <w:pitch w:val="default"/>
    <w:sig w:usb0="00000001" w:usb1="21D72C10" w:usb2="00000010" w:usb3="00000000" w:csb0="602A0005"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rPr>
        <w:rFonts w:asciiTheme="minorEastAsia" w:hAnsiTheme="minorEastAsia" w:eastAsiaTheme="minorEastAsia" w:cstheme="minorEastAsia"/>
        <w:sz w:val="24"/>
        <w:szCs w:val="24"/>
      </w:rPr>
    </w:pPr>
    <w:r>
      <w:rPr>
        <w:rFonts w:hint="eastAsia"/>
        <w:bCs/>
        <w:sz w:val="24"/>
        <w:szCs w:val="24"/>
      </w:rPr>
      <w:t xml:space="preserve"> </w:t>
    </w:r>
    <w:r>
      <w:rPr>
        <w:rFonts w:hint="eastAsia"/>
        <w:bCs/>
        <w:sz w:val="24"/>
        <w:szCs w:val="24"/>
      </w:rPr>
      <w:drawing>
        <wp:inline distT="0" distB="0" distL="114300" distR="114300">
          <wp:extent cx="1072515" cy="385445"/>
          <wp:effectExtent l="0" t="0" r="13335" b="0"/>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1"/>
                  <a:stretch>
                    <a:fillRect/>
                  </a:stretch>
                </pic:blipFill>
                <pic:spPr>
                  <a:xfrm>
                    <a:off x="0" y="0"/>
                    <a:ext cx="1072515" cy="385445"/>
                  </a:xfrm>
                  <a:prstGeom prst="rect">
                    <a:avLst/>
                  </a:prstGeom>
                </pic:spPr>
              </pic:pic>
            </a:graphicData>
          </a:graphic>
        </wp:inline>
      </w:drawing>
    </w:r>
    <w:r>
      <w:rPr>
        <w:rFonts w:hint="eastAsia"/>
        <w:bCs/>
        <w:sz w:val="24"/>
        <w:szCs w:val="24"/>
      </w:rPr>
      <w:t xml:space="preserve">                 </w:t>
    </w:r>
    <w:r>
      <w:rPr>
        <w:rFonts w:hint="eastAsia" w:asciiTheme="minorEastAsia" w:hAnsiTheme="minorEastAsia" w:eastAsiaTheme="minorEastAsia" w:cstheme="minorEastAsia"/>
        <w:bCs/>
        <w:sz w:val="24"/>
        <w:szCs w:val="24"/>
      </w:rPr>
      <w:t xml:space="preserve">  </w:t>
    </w:r>
    <w:r>
      <w:rPr>
        <w:rFonts w:hint="eastAsia" w:asciiTheme="minorEastAsia" w:hAnsiTheme="minorEastAsia" w:eastAsiaTheme="minorEastAsia" w:cstheme="minorEastAsia"/>
        <w:bCs/>
        <w:szCs w:val="21"/>
      </w:rPr>
      <w:t>RX357车载道路积尘负荷监测系统产品说明书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270561"/>
    <w:multiLevelType w:val="multilevel"/>
    <w:tmpl w:val="04270561"/>
    <w:lvl w:ilvl="0" w:tentative="0">
      <w:start w:val="1"/>
      <w:numFmt w:val="decimal"/>
      <w:lvlText w:val="%1."/>
      <w:lvlJc w:val="left"/>
      <w:pPr>
        <w:tabs>
          <w:tab w:val="left" w:pos="482"/>
        </w:tabs>
        <w:ind w:left="482" w:hanging="482"/>
      </w:pPr>
      <w:rPr>
        <w:rFonts w:hint="eastAsia" w:ascii="BatangChe" w:eastAsia="BatangChe"/>
        <w:b/>
        <w:i w:val="0"/>
        <w:sz w:val="32"/>
      </w:rPr>
    </w:lvl>
    <w:lvl w:ilvl="1" w:tentative="0">
      <w:start w:val="1"/>
      <w:numFmt w:val="decimal"/>
      <w:pStyle w:val="3"/>
      <w:lvlText w:val="%1.%2"/>
      <w:lvlJc w:val="left"/>
      <w:pPr>
        <w:tabs>
          <w:tab w:val="left" w:pos="720"/>
        </w:tabs>
        <w:ind w:left="720" w:hanging="720"/>
      </w:pPr>
      <w:rPr>
        <w:rFonts w:hint="eastAsia" w:ascii="BatangChe" w:eastAsia="BatangChe"/>
        <w:b/>
        <w:i w:val="0"/>
        <w:sz w:val="28"/>
      </w:rPr>
    </w:lvl>
    <w:lvl w:ilvl="2" w:tentative="0">
      <w:start w:val="1"/>
      <w:numFmt w:val="decimal"/>
      <w:lvlText w:val="%1.%2.%3"/>
      <w:lvlJc w:val="left"/>
      <w:pPr>
        <w:tabs>
          <w:tab w:val="left" w:pos="720"/>
        </w:tabs>
        <w:ind w:left="720" w:hanging="720"/>
      </w:pPr>
      <w:rPr>
        <w:rFonts w:hint="eastAsia" w:ascii="BatangChe" w:eastAsia="BatangChe"/>
        <w:b/>
        <w:i w:val="0"/>
        <w:sz w:val="24"/>
      </w:rPr>
    </w:lvl>
    <w:lvl w:ilvl="3" w:tentative="0">
      <w:start w:val="1"/>
      <w:numFmt w:val="decimal"/>
      <w:lvlText w:val="%1.%2.%3.%4"/>
      <w:lvlJc w:val="left"/>
      <w:pPr>
        <w:tabs>
          <w:tab w:val="left" w:pos="1080"/>
        </w:tabs>
        <w:ind w:left="1080" w:hanging="1080"/>
      </w:pPr>
      <w:rPr>
        <w:rFonts w:hint="eastAsia" w:ascii="BatangChe" w:eastAsia="BatangChe"/>
        <w:b/>
        <w:i w:val="0"/>
        <w:sz w:val="24"/>
      </w:rPr>
    </w:lvl>
    <w:lvl w:ilvl="4" w:tentative="0">
      <w:start w:val="1"/>
      <w:numFmt w:val="decimal"/>
      <w:isLgl/>
      <w:lvlText w:val="%1.%2.%3.%4.%5"/>
      <w:lvlJc w:val="left"/>
      <w:pPr>
        <w:tabs>
          <w:tab w:val="left" w:pos="1440"/>
        </w:tabs>
        <w:ind w:left="1440" w:hanging="144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800"/>
        </w:tabs>
        <w:ind w:left="1800" w:hanging="1800"/>
      </w:pPr>
      <w:rPr>
        <w:rFonts w:hint="eastAsia"/>
      </w:rPr>
    </w:lvl>
    <w:lvl w:ilvl="7" w:tentative="0">
      <w:start w:val="1"/>
      <w:numFmt w:val="decimal"/>
      <w:isLgl/>
      <w:lvlText w:val="%1.%2.%3.%4.%5.%6.%7.%8"/>
      <w:lvlJc w:val="left"/>
      <w:pPr>
        <w:tabs>
          <w:tab w:val="left" w:pos="2160"/>
        </w:tabs>
        <w:ind w:left="2160" w:hanging="2160"/>
      </w:pPr>
      <w:rPr>
        <w:rFonts w:hint="eastAsia"/>
      </w:rPr>
    </w:lvl>
    <w:lvl w:ilvl="8" w:tentative="0">
      <w:start w:val="1"/>
      <w:numFmt w:val="decimal"/>
      <w:isLgl/>
      <w:lvlText w:val="%1.%2.%3.%4.%5.%6.%7.%8.%9"/>
      <w:lvlJc w:val="left"/>
      <w:pPr>
        <w:tabs>
          <w:tab w:val="left" w:pos="2160"/>
        </w:tabs>
        <w:ind w:left="2160" w:hanging="2160"/>
      </w:pPr>
      <w:rPr>
        <w:rFonts w:hint="eastAsia"/>
      </w:rPr>
    </w:lvl>
  </w:abstractNum>
  <w:abstractNum w:abstractNumId="1">
    <w:nsid w:val="5B033ECD"/>
    <w:multiLevelType w:val="multilevel"/>
    <w:tmpl w:val="5B033EC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696A0232"/>
    <w:multiLevelType w:val="singleLevel"/>
    <w:tmpl w:val="696A0232"/>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D64"/>
    <w:rsid w:val="00003974"/>
    <w:rsid w:val="00006638"/>
    <w:rsid w:val="0001575B"/>
    <w:rsid w:val="00032BFC"/>
    <w:rsid w:val="00040C75"/>
    <w:rsid w:val="000430A3"/>
    <w:rsid w:val="0004692A"/>
    <w:rsid w:val="00067E31"/>
    <w:rsid w:val="00094DAF"/>
    <w:rsid w:val="000951F6"/>
    <w:rsid w:val="000A716F"/>
    <w:rsid w:val="000B7F15"/>
    <w:rsid w:val="000D7A24"/>
    <w:rsid w:val="000E4E2B"/>
    <w:rsid w:val="000E57AE"/>
    <w:rsid w:val="000F76E9"/>
    <w:rsid w:val="001231F5"/>
    <w:rsid w:val="001444B8"/>
    <w:rsid w:val="001456F8"/>
    <w:rsid w:val="00185C37"/>
    <w:rsid w:val="001D76E8"/>
    <w:rsid w:val="001F65DF"/>
    <w:rsid w:val="002014E9"/>
    <w:rsid w:val="002428DD"/>
    <w:rsid w:val="002852F4"/>
    <w:rsid w:val="00293C31"/>
    <w:rsid w:val="002A07C0"/>
    <w:rsid w:val="002D6EE5"/>
    <w:rsid w:val="002E132E"/>
    <w:rsid w:val="002E308C"/>
    <w:rsid w:val="00302F5A"/>
    <w:rsid w:val="00325F73"/>
    <w:rsid w:val="003354EB"/>
    <w:rsid w:val="00351412"/>
    <w:rsid w:val="00356A09"/>
    <w:rsid w:val="00375B45"/>
    <w:rsid w:val="00385781"/>
    <w:rsid w:val="00396979"/>
    <w:rsid w:val="003A2967"/>
    <w:rsid w:val="003C038B"/>
    <w:rsid w:val="003D100A"/>
    <w:rsid w:val="003D7995"/>
    <w:rsid w:val="003F5960"/>
    <w:rsid w:val="0041292D"/>
    <w:rsid w:val="00416DBB"/>
    <w:rsid w:val="004422D4"/>
    <w:rsid w:val="00445EEF"/>
    <w:rsid w:val="0045103C"/>
    <w:rsid w:val="00454164"/>
    <w:rsid w:val="00464D91"/>
    <w:rsid w:val="004750E0"/>
    <w:rsid w:val="00482843"/>
    <w:rsid w:val="004A3BC2"/>
    <w:rsid w:val="004D4D4A"/>
    <w:rsid w:val="004E407A"/>
    <w:rsid w:val="004E7830"/>
    <w:rsid w:val="004F62D1"/>
    <w:rsid w:val="004F7B91"/>
    <w:rsid w:val="00570C2B"/>
    <w:rsid w:val="005A4859"/>
    <w:rsid w:val="005B2559"/>
    <w:rsid w:val="005C7490"/>
    <w:rsid w:val="005E4B21"/>
    <w:rsid w:val="0060045B"/>
    <w:rsid w:val="006038B3"/>
    <w:rsid w:val="00644C35"/>
    <w:rsid w:val="0066458B"/>
    <w:rsid w:val="00667F81"/>
    <w:rsid w:val="00683DC7"/>
    <w:rsid w:val="006A047C"/>
    <w:rsid w:val="006A3D91"/>
    <w:rsid w:val="006C7499"/>
    <w:rsid w:val="006E4A23"/>
    <w:rsid w:val="006E78F6"/>
    <w:rsid w:val="00706614"/>
    <w:rsid w:val="00725D64"/>
    <w:rsid w:val="00731874"/>
    <w:rsid w:val="00733344"/>
    <w:rsid w:val="007677E0"/>
    <w:rsid w:val="007A60E1"/>
    <w:rsid w:val="007A6E10"/>
    <w:rsid w:val="007D0A4D"/>
    <w:rsid w:val="007D3B5E"/>
    <w:rsid w:val="007E4B57"/>
    <w:rsid w:val="0080072B"/>
    <w:rsid w:val="0080382F"/>
    <w:rsid w:val="00806B5A"/>
    <w:rsid w:val="00824095"/>
    <w:rsid w:val="008272CC"/>
    <w:rsid w:val="008316BA"/>
    <w:rsid w:val="00855DC1"/>
    <w:rsid w:val="00861A33"/>
    <w:rsid w:val="008A314A"/>
    <w:rsid w:val="008A53CF"/>
    <w:rsid w:val="008B6050"/>
    <w:rsid w:val="008C6500"/>
    <w:rsid w:val="008D78E6"/>
    <w:rsid w:val="008F6F3B"/>
    <w:rsid w:val="00910AA8"/>
    <w:rsid w:val="0095045C"/>
    <w:rsid w:val="00987DF1"/>
    <w:rsid w:val="009A63AB"/>
    <w:rsid w:val="009A70D7"/>
    <w:rsid w:val="009B75D5"/>
    <w:rsid w:val="009C364A"/>
    <w:rsid w:val="009E7251"/>
    <w:rsid w:val="009F764F"/>
    <w:rsid w:val="00A03162"/>
    <w:rsid w:val="00A03CC5"/>
    <w:rsid w:val="00A24AC1"/>
    <w:rsid w:val="00A27F7A"/>
    <w:rsid w:val="00A40254"/>
    <w:rsid w:val="00A42897"/>
    <w:rsid w:val="00A66529"/>
    <w:rsid w:val="00A955A4"/>
    <w:rsid w:val="00A96E32"/>
    <w:rsid w:val="00AB4160"/>
    <w:rsid w:val="00AB4337"/>
    <w:rsid w:val="00AB4AFE"/>
    <w:rsid w:val="00AC27CD"/>
    <w:rsid w:val="00AC57CF"/>
    <w:rsid w:val="00AD1BBB"/>
    <w:rsid w:val="00AE0121"/>
    <w:rsid w:val="00B403DB"/>
    <w:rsid w:val="00B46423"/>
    <w:rsid w:val="00B556BB"/>
    <w:rsid w:val="00B56A5E"/>
    <w:rsid w:val="00B56B2E"/>
    <w:rsid w:val="00B97816"/>
    <w:rsid w:val="00BA1A7C"/>
    <w:rsid w:val="00BA563E"/>
    <w:rsid w:val="00BD6ECB"/>
    <w:rsid w:val="00C50A63"/>
    <w:rsid w:val="00C636FC"/>
    <w:rsid w:val="00CD3554"/>
    <w:rsid w:val="00CD6629"/>
    <w:rsid w:val="00CF29BD"/>
    <w:rsid w:val="00D073CD"/>
    <w:rsid w:val="00D10FD5"/>
    <w:rsid w:val="00D337AA"/>
    <w:rsid w:val="00D47568"/>
    <w:rsid w:val="00D53AC2"/>
    <w:rsid w:val="00DF7695"/>
    <w:rsid w:val="00E30C91"/>
    <w:rsid w:val="00E31E39"/>
    <w:rsid w:val="00E407F9"/>
    <w:rsid w:val="00E50B92"/>
    <w:rsid w:val="00E61A93"/>
    <w:rsid w:val="00E97D53"/>
    <w:rsid w:val="00EC606F"/>
    <w:rsid w:val="00EE3559"/>
    <w:rsid w:val="00EF3A2F"/>
    <w:rsid w:val="00F00C13"/>
    <w:rsid w:val="00F24BB6"/>
    <w:rsid w:val="00F547C8"/>
    <w:rsid w:val="00F96079"/>
    <w:rsid w:val="00FC76B7"/>
    <w:rsid w:val="00FE1567"/>
    <w:rsid w:val="00FF7F0F"/>
    <w:rsid w:val="06461A33"/>
    <w:rsid w:val="0C460FFD"/>
    <w:rsid w:val="0CE75044"/>
    <w:rsid w:val="0DA57DC0"/>
    <w:rsid w:val="117B5F1D"/>
    <w:rsid w:val="182A79A1"/>
    <w:rsid w:val="19B12A3D"/>
    <w:rsid w:val="1A88764C"/>
    <w:rsid w:val="1DA51734"/>
    <w:rsid w:val="1FAB6E59"/>
    <w:rsid w:val="1FF00AF6"/>
    <w:rsid w:val="21A4279A"/>
    <w:rsid w:val="23531246"/>
    <w:rsid w:val="26550A9B"/>
    <w:rsid w:val="273E296A"/>
    <w:rsid w:val="27BD7566"/>
    <w:rsid w:val="29047612"/>
    <w:rsid w:val="291F3A85"/>
    <w:rsid w:val="2F9A6B9B"/>
    <w:rsid w:val="3127677A"/>
    <w:rsid w:val="34823075"/>
    <w:rsid w:val="35F03651"/>
    <w:rsid w:val="3851008A"/>
    <w:rsid w:val="3ADA0033"/>
    <w:rsid w:val="42476B74"/>
    <w:rsid w:val="44290B72"/>
    <w:rsid w:val="44AB2D44"/>
    <w:rsid w:val="4BCC1B72"/>
    <w:rsid w:val="5241757F"/>
    <w:rsid w:val="529417F7"/>
    <w:rsid w:val="54994A8C"/>
    <w:rsid w:val="56D94CDD"/>
    <w:rsid w:val="59B80F10"/>
    <w:rsid w:val="5C947AAF"/>
    <w:rsid w:val="5D214FFE"/>
    <w:rsid w:val="5D5D70CA"/>
    <w:rsid w:val="615A1902"/>
    <w:rsid w:val="63854318"/>
    <w:rsid w:val="689F4E40"/>
    <w:rsid w:val="69B309B0"/>
    <w:rsid w:val="6F990700"/>
    <w:rsid w:val="710B15C4"/>
    <w:rsid w:val="74364417"/>
    <w:rsid w:val="75583A98"/>
    <w:rsid w:val="7581260D"/>
    <w:rsid w:val="7ACB68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qFormat="1" w:unhideWhenUsed="0" w:uiPriority="99"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3"/>
    <w:qFormat/>
    <w:uiPriority w:val="9"/>
    <w:pPr>
      <w:keepNext/>
      <w:keepLines/>
      <w:spacing w:before="340" w:after="330" w:line="578" w:lineRule="auto"/>
      <w:outlineLvl w:val="0"/>
    </w:pPr>
    <w:rPr>
      <w:rFonts w:asciiTheme="minorHAnsi" w:hAnsiTheme="minorHAnsi" w:eastAsiaTheme="minorEastAsia" w:cstheme="minorBidi"/>
      <w:b/>
      <w:bCs/>
      <w:kern w:val="44"/>
      <w:sz w:val="44"/>
      <w:szCs w:val="44"/>
    </w:rPr>
  </w:style>
  <w:style w:type="paragraph" w:styleId="3">
    <w:name w:val="heading 2"/>
    <w:basedOn w:val="1"/>
    <w:next w:val="1"/>
    <w:link w:val="34"/>
    <w:unhideWhenUsed/>
    <w:qFormat/>
    <w:uiPriority w:val="9"/>
    <w:pPr>
      <w:keepNext/>
      <w:numPr>
        <w:ilvl w:val="1"/>
        <w:numId w:val="1"/>
      </w:numPr>
      <w:wordWrap w:val="0"/>
      <w:spacing w:after="120" w:line="360" w:lineRule="exact"/>
      <w:outlineLvl w:val="1"/>
    </w:pPr>
    <w:rPr>
      <w:rFonts w:eastAsia="BatangChe" w:asciiTheme="minorHAnsi" w:hAnsiTheme="minorHAnsi" w:cstheme="minorBidi"/>
      <w:b/>
      <w:sz w:val="24"/>
      <w:szCs w:val="20"/>
      <w:lang w:eastAsia="ko-KR"/>
    </w:rPr>
  </w:style>
  <w:style w:type="paragraph" w:styleId="4">
    <w:name w:val="heading 3"/>
    <w:basedOn w:val="1"/>
    <w:next w:val="1"/>
    <w:link w:val="35"/>
    <w:unhideWhenUsed/>
    <w:qFormat/>
    <w:uiPriority w:val="9"/>
    <w:pPr>
      <w:keepNext/>
      <w:keepLines/>
      <w:spacing w:before="260" w:after="260" w:line="416" w:lineRule="auto"/>
      <w:outlineLvl w:val="2"/>
    </w:pPr>
    <w:rPr>
      <w:rFonts w:asciiTheme="minorHAnsi" w:hAnsiTheme="minorHAnsi" w:eastAsiaTheme="minorEastAsia" w:cstheme="minorBidi"/>
      <w:b/>
      <w:bCs/>
      <w:sz w:val="32"/>
      <w:szCs w:val="32"/>
    </w:rPr>
  </w:style>
  <w:style w:type="paragraph" w:styleId="5">
    <w:name w:val="heading 4"/>
    <w:basedOn w:val="1"/>
    <w:next w:val="1"/>
    <w:link w:val="36"/>
    <w:unhideWhenUsed/>
    <w:qFormat/>
    <w:uiPriority w:val="9"/>
    <w:pPr>
      <w:keepNext/>
      <w:keepLines/>
      <w:spacing w:before="280" w:after="290" w:line="372" w:lineRule="auto"/>
      <w:outlineLvl w:val="3"/>
    </w:pPr>
    <w:rPr>
      <w:rFonts w:ascii="Arial" w:hAnsi="Arial" w:eastAsia="黑体" w:cstheme="minorBidi"/>
      <w:b/>
      <w:sz w:val="28"/>
    </w:rPr>
  </w:style>
  <w:style w:type="paragraph" w:styleId="6">
    <w:name w:val="heading 5"/>
    <w:basedOn w:val="1"/>
    <w:next w:val="1"/>
    <w:link w:val="37"/>
    <w:unhideWhenUsed/>
    <w:qFormat/>
    <w:uiPriority w:val="9"/>
    <w:pPr>
      <w:keepNext/>
      <w:keepLines/>
      <w:spacing w:before="280" w:after="290" w:line="372" w:lineRule="auto"/>
      <w:outlineLvl w:val="4"/>
    </w:pPr>
    <w:rPr>
      <w:rFonts w:asciiTheme="minorHAnsi" w:hAnsiTheme="minorHAnsi" w:eastAsiaTheme="minorEastAsia" w:cstheme="minorBidi"/>
      <w:b/>
      <w:sz w:val="28"/>
    </w:rPr>
  </w:style>
  <w:style w:type="paragraph" w:styleId="7">
    <w:name w:val="heading 6"/>
    <w:basedOn w:val="1"/>
    <w:next w:val="1"/>
    <w:link w:val="38"/>
    <w:unhideWhenUsed/>
    <w:qFormat/>
    <w:uiPriority w:val="9"/>
    <w:pPr>
      <w:keepNext/>
      <w:keepLines/>
      <w:spacing w:before="240" w:after="64" w:line="317" w:lineRule="auto"/>
      <w:outlineLvl w:val="5"/>
    </w:pPr>
    <w:rPr>
      <w:rFonts w:ascii="Arial" w:hAnsi="Arial" w:eastAsia="黑体" w:cstheme="minorBidi"/>
      <w:b/>
      <w:sz w:val="24"/>
    </w:rPr>
  </w:style>
  <w:style w:type="character" w:default="1" w:styleId="27">
    <w:name w:val="Default Paragraph Font"/>
    <w:semiHidden/>
    <w:unhideWhenUsed/>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2520" w:leftChars="1200"/>
    </w:pPr>
    <w:rPr>
      <w:rFonts w:asciiTheme="minorHAnsi" w:hAnsiTheme="minorHAnsi" w:eastAsiaTheme="minorEastAsia" w:cstheme="minorBidi"/>
    </w:rPr>
  </w:style>
  <w:style w:type="paragraph" w:styleId="9">
    <w:name w:val="Normal Indent"/>
    <w:basedOn w:val="1"/>
    <w:unhideWhenUsed/>
    <w:qFormat/>
    <w:uiPriority w:val="99"/>
    <w:pPr>
      <w:ind w:firstLine="420"/>
    </w:pPr>
    <w:rPr>
      <w:rFonts w:ascii="Times New Roman" w:hAnsi="Times New Roman" w:eastAsiaTheme="minorEastAsia" w:cstheme="minorBidi"/>
      <w:szCs w:val="20"/>
    </w:rPr>
  </w:style>
  <w:style w:type="paragraph" w:styleId="10">
    <w:name w:val="annotation text"/>
    <w:basedOn w:val="1"/>
    <w:link w:val="39"/>
    <w:qFormat/>
    <w:uiPriority w:val="99"/>
    <w:pPr>
      <w:jc w:val="left"/>
    </w:pPr>
  </w:style>
  <w:style w:type="paragraph" w:styleId="11">
    <w:name w:val="toc 5"/>
    <w:basedOn w:val="1"/>
    <w:next w:val="1"/>
    <w:unhideWhenUsed/>
    <w:qFormat/>
    <w:uiPriority w:val="39"/>
    <w:pPr>
      <w:ind w:left="1680" w:leftChars="800"/>
    </w:pPr>
    <w:rPr>
      <w:rFonts w:asciiTheme="minorHAnsi" w:hAnsiTheme="minorHAnsi" w:eastAsiaTheme="minorEastAsia" w:cstheme="minorBidi"/>
    </w:rPr>
  </w:style>
  <w:style w:type="paragraph" w:styleId="12">
    <w:name w:val="toc 3"/>
    <w:basedOn w:val="1"/>
    <w:next w:val="1"/>
    <w:unhideWhenUsed/>
    <w:qFormat/>
    <w:uiPriority w:val="39"/>
    <w:pPr>
      <w:ind w:left="840" w:leftChars="400"/>
    </w:pPr>
    <w:rPr>
      <w:rFonts w:asciiTheme="minorHAnsi" w:hAnsiTheme="minorHAnsi" w:eastAsiaTheme="minorEastAsia" w:cstheme="minorBidi"/>
    </w:rPr>
  </w:style>
  <w:style w:type="paragraph" w:styleId="13">
    <w:name w:val="toc 8"/>
    <w:basedOn w:val="1"/>
    <w:next w:val="1"/>
    <w:unhideWhenUsed/>
    <w:qFormat/>
    <w:uiPriority w:val="39"/>
    <w:pPr>
      <w:ind w:left="2940" w:leftChars="1400"/>
    </w:pPr>
    <w:rPr>
      <w:rFonts w:asciiTheme="minorHAnsi" w:hAnsiTheme="minorHAnsi" w:eastAsiaTheme="minorEastAsia" w:cstheme="minorBidi"/>
    </w:rPr>
  </w:style>
  <w:style w:type="paragraph" w:styleId="14">
    <w:name w:val="Body Text Indent 2"/>
    <w:basedOn w:val="1"/>
    <w:link w:val="55"/>
    <w:qFormat/>
    <w:uiPriority w:val="0"/>
    <w:pPr>
      <w:spacing w:line="360" w:lineRule="auto"/>
      <w:ind w:firstLine="480"/>
    </w:pPr>
    <w:rPr>
      <w:rFonts w:ascii="Times New Roman" w:hAnsi="Times New Roman"/>
      <w:sz w:val="24"/>
      <w:szCs w:val="20"/>
    </w:rPr>
  </w:style>
  <w:style w:type="paragraph" w:styleId="15">
    <w:name w:val="Balloon Text"/>
    <w:basedOn w:val="1"/>
    <w:link w:val="41"/>
    <w:unhideWhenUsed/>
    <w:qFormat/>
    <w:uiPriority w:val="99"/>
    <w:rPr>
      <w:rFonts w:asciiTheme="minorHAnsi" w:hAnsiTheme="minorHAnsi" w:eastAsiaTheme="minorEastAsia" w:cstheme="minorBidi"/>
      <w:sz w:val="18"/>
      <w:szCs w:val="18"/>
    </w:rPr>
  </w:style>
  <w:style w:type="paragraph" w:styleId="16">
    <w:name w:val="footer"/>
    <w:basedOn w:val="1"/>
    <w:link w:val="32"/>
    <w:qFormat/>
    <w:uiPriority w:val="99"/>
    <w:pPr>
      <w:tabs>
        <w:tab w:val="center" w:pos="4153"/>
        <w:tab w:val="right" w:pos="8306"/>
      </w:tabs>
      <w:snapToGrid w:val="0"/>
      <w:jc w:val="left"/>
    </w:pPr>
    <w:rPr>
      <w:rFonts w:ascii="Times New Roman" w:hAnsi="Times New Roman"/>
      <w:sz w:val="18"/>
      <w:szCs w:val="18"/>
    </w:rPr>
  </w:style>
  <w:style w:type="paragraph" w:styleId="17">
    <w:name w:val="header"/>
    <w:basedOn w:val="1"/>
    <w:link w:val="31"/>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8">
    <w:name w:val="toc 1"/>
    <w:basedOn w:val="1"/>
    <w:next w:val="1"/>
    <w:unhideWhenUsed/>
    <w:qFormat/>
    <w:uiPriority w:val="39"/>
    <w:rPr>
      <w:rFonts w:asciiTheme="minorHAnsi" w:hAnsiTheme="minorHAnsi" w:eastAsiaTheme="minorEastAsia" w:cstheme="minorBidi"/>
    </w:rPr>
  </w:style>
  <w:style w:type="paragraph" w:styleId="19">
    <w:name w:val="toc 4"/>
    <w:basedOn w:val="1"/>
    <w:next w:val="1"/>
    <w:unhideWhenUsed/>
    <w:qFormat/>
    <w:uiPriority w:val="39"/>
    <w:pPr>
      <w:ind w:left="1260" w:leftChars="600"/>
    </w:pPr>
    <w:rPr>
      <w:rFonts w:asciiTheme="minorHAnsi" w:hAnsiTheme="minorHAnsi" w:eastAsiaTheme="minorEastAsia" w:cstheme="minorBidi"/>
    </w:rPr>
  </w:style>
  <w:style w:type="paragraph" w:styleId="20">
    <w:name w:val="toc 6"/>
    <w:basedOn w:val="1"/>
    <w:next w:val="1"/>
    <w:unhideWhenUsed/>
    <w:qFormat/>
    <w:uiPriority w:val="39"/>
    <w:pPr>
      <w:ind w:left="2100" w:leftChars="1000"/>
    </w:pPr>
    <w:rPr>
      <w:rFonts w:asciiTheme="minorHAnsi" w:hAnsiTheme="minorHAnsi" w:eastAsiaTheme="minorEastAsia" w:cstheme="minorBidi"/>
    </w:rPr>
  </w:style>
  <w:style w:type="paragraph" w:styleId="21">
    <w:name w:val="toc 2"/>
    <w:basedOn w:val="1"/>
    <w:next w:val="1"/>
    <w:unhideWhenUsed/>
    <w:qFormat/>
    <w:uiPriority w:val="39"/>
    <w:pPr>
      <w:ind w:left="420" w:leftChars="200"/>
    </w:pPr>
    <w:rPr>
      <w:rFonts w:asciiTheme="minorHAnsi" w:hAnsiTheme="minorHAnsi" w:eastAsiaTheme="minorEastAsia" w:cstheme="minorBidi"/>
    </w:rPr>
  </w:style>
  <w:style w:type="paragraph" w:styleId="22">
    <w:name w:val="toc 9"/>
    <w:basedOn w:val="1"/>
    <w:next w:val="1"/>
    <w:unhideWhenUsed/>
    <w:qFormat/>
    <w:uiPriority w:val="39"/>
    <w:pPr>
      <w:ind w:left="3360" w:leftChars="1600"/>
    </w:pPr>
    <w:rPr>
      <w:rFonts w:asciiTheme="minorHAnsi" w:hAnsiTheme="minorHAnsi" w:eastAsiaTheme="minorEastAsia" w:cstheme="minorBidi"/>
    </w:rPr>
  </w:style>
  <w:style w:type="paragraph" w:styleId="23">
    <w:name w:val="Normal (Web)"/>
    <w:basedOn w:val="1"/>
    <w:unhideWhenUsed/>
    <w:qFormat/>
    <w:uiPriority w:val="99"/>
    <w:pPr>
      <w:spacing w:beforeAutospacing="1" w:afterAutospacing="1"/>
      <w:jc w:val="left"/>
    </w:pPr>
    <w:rPr>
      <w:rFonts w:asciiTheme="minorHAnsi" w:hAnsiTheme="minorHAnsi" w:eastAsiaTheme="minorEastAsia"/>
      <w:kern w:val="0"/>
      <w:sz w:val="24"/>
    </w:rPr>
  </w:style>
  <w:style w:type="paragraph" w:styleId="24">
    <w:name w:val="annotation subject"/>
    <w:basedOn w:val="10"/>
    <w:next w:val="10"/>
    <w:link w:val="40"/>
    <w:unhideWhenUsed/>
    <w:qFormat/>
    <w:uiPriority w:val="99"/>
    <w:rPr>
      <w:rFonts w:asciiTheme="minorHAnsi" w:hAnsiTheme="minorHAnsi" w:eastAsiaTheme="minorEastAsia" w:cstheme="minorBidi"/>
      <w:b/>
      <w:bCs/>
    </w:r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unhideWhenUsed/>
    <w:qFormat/>
    <w:uiPriority w:val="99"/>
  </w:style>
  <w:style w:type="character" w:styleId="29">
    <w:name w:val="line number"/>
    <w:qFormat/>
    <w:uiPriority w:val="99"/>
    <w:rPr>
      <w:rFonts w:cs="Times New Roman"/>
    </w:rPr>
  </w:style>
  <w:style w:type="character" w:styleId="30">
    <w:name w:val="annotation reference"/>
    <w:basedOn w:val="27"/>
    <w:unhideWhenUsed/>
    <w:qFormat/>
    <w:uiPriority w:val="99"/>
    <w:rPr>
      <w:sz w:val="21"/>
      <w:szCs w:val="21"/>
    </w:rPr>
  </w:style>
  <w:style w:type="character" w:customStyle="1" w:styleId="31">
    <w:name w:val="页眉 Char"/>
    <w:basedOn w:val="27"/>
    <w:link w:val="17"/>
    <w:qFormat/>
    <w:uiPriority w:val="99"/>
    <w:rPr>
      <w:kern w:val="2"/>
      <w:sz w:val="18"/>
      <w:szCs w:val="18"/>
    </w:rPr>
  </w:style>
  <w:style w:type="character" w:customStyle="1" w:styleId="32">
    <w:name w:val="页脚 Char"/>
    <w:basedOn w:val="27"/>
    <w:link w:val="16"/>
    <w:qFormat/>
    <w:uiPriority w:val="99"/>
    <w:rPr>
      <w:kern w:val="2"/>
      <w:sz w:val="18"/>
      <w:szCs w:val="18"/>
    </w:rPr>
  </w:style>
  <w:style w:type="character" w:customStyle="1" w:styleId="33">
    <w:name w:val="标题 1 Char"/>
    <w:basedOn w:val="27"/>
    <w:link w:val="2"/>
    <w:qFormat/>
    <w:uiPriority w:val="9"/>
    <w:rPr>
      <w:rFonts w:asciiTheme="minorHAnsi" w:hAnsiTheme="minorHAnsi" w:eastAsiaTheme="minorEastAsia" w:cstheme="minorBidi"/>
      <w:b/>
      <w:bCs/>
      <w:kern w:val="44"/>
      <w:sz w:val="44"/>
      <w:szCs w:val="44"/>
    </w:rPr>
  </w:style>
  <w:style w:type="character" w:customStyle="1" w:styleId="34">
    <w:name w:val="标题 2 Char"/>
    <w:basedOn w:val="27"/>
    <w:link w:val="3"/>
    <w:qFormat/>
    <w:uiPriority w:val="9"/>
    <w:rPr>
      <w:rFonts w:eastAsia="BatangChe" w:asciiTheme="minorHAnsi" w:hAnsiTheme="minorHAnsi" w:cstheme="minorBidi"/>
      <w:b/>
      <w:kern w:val="2"/>
      <w:sz w:val="24"/>
      <w:lang w:eastAsia="ko-KR"/>
    </w:rPr>
  </w:style>
  <w:style w:type="character" w:customStyle="1" w:styleId="35">
    <w:name w:val="标题 3 Char"/>
    <w:basedOn w:val="27"/>
    <w:link w:val="4"/>
    <w:qFormat/>
    <w:uiPriority w:val="9"/>
    <w:rPr>
      <w:rFonts w:asciiTheme="minorHAnsi" w:hAnsiTheme="minorHAnsi" w:eastAsiaTheme="minorEastAsia" w:cstheme="minorBidi"/>
      <w:b/>
      <w:bCs/>
      <w:kern w:val="2"/>
      <w:sz w:val="32"/>
      <w:szCs w:val="32"/>
    </w:rPr>
  </w:style>
  <w:style w:type="character" w:customStyle="1" w:styleId="36">
    <w:name w:val="标题 4 Char"/>
    <w:basedOn w:val="27"/>
    <w:link w:val="5"/>
    <w:qFormat/>
    <w:uiPriority w:val="9"/>
    <w:rPr>
      <w:rFonts w:ascii="Arial" w:hAnsi="Arial" w:eastAsia="黑体" w:cstheme="minorBidi"/>
      <w:b/>
      <w:kern w:val="2"/>
      <w:sz w:val="28"/>
      <w:szCs w:val="22"/>
    </w:rPr>
  </w:style>
  <w:style w:type="character" w:customStyle="1" w:styleId="37">
    <w:name w:val="标题 5 Char"/>
    <w:basedOn w:val="27"/>
    <w:link w:val="6"/>
    <w:qFormat/>
    <w:uiPriority w:val="9"/>
    <w:rPr>
      <w:rFonts w:asciiTheme="minorHAnsi" w:hAnsiTheme="minorHAnsi" w:eastAsiaTheme="minorEastAsia" w:cstheme="minorBidi"/>
      <w:b/>
      <w:kern w:val="2"/>
      <w:sz w:val="28"/>
      <w:szCs w:val="22"/>
    </w:rPr>
  </w:style>
  <w:style w:type="character" w:customStyle="1" w:styleId="38">
    <w:name w:val="标题 6 Char"/>
    <w:basedOn w:val="27"/>
    <w:link w:val="7"/>
    <w:qFormat/>
    <w:uiPriority w:val="9"/>
    <w:rPr>
      <w:rFonts w:ascii="Arial" w:hAnsi="Arial" w:eastAsia="黑体" w:cstheme="minorBidi"/>
      <w:b/>
      <w:kern w:val="2"/>
      <w:sz w:val="24"/>
      <w:szCs w:val="22"/>
    </w:rPr>
  </w:style>
  <w:style w:type="character" w:customStyle="1" w:styleId="39">
    <w:name w:val="批注文字 Char"/>
    <w:basedOn w:val="27"/>
    <w:link w:val="10"/>
    <w:qFormat/>
    <w:uiPriority w:val="99"/>
    <w:rPr>
      <w:rFonts w:ascii="Calibri" w:hAnsi="Calibri"/>
      <w:kern w:val="2"/>
      <w:sz w:val="21"/>
      <w:szCs w:val="22"/>
    </w:rPr>
  </w:style>
  <w:style w:type="character" w:customStyle="1" w:styleId="40">
    <w:name w:val="批注主题 Char"/>
    <w:basedOn w:val="39"/>
    <w:link w:val="24"/>
    <w:qFormat/>
    <w:uiPriority w:val="99"/>
    <w:rPr>
      <w:rFonts w:asciiTheme="minorHAnsi" w:hAnsiTheme="minorHAnsi" w:eastAsiaTheme="minorEastAsia" w:cstheme="minorBidi"/>
      <w:b/>
      <w:bCs/>
      <w:kern w:val="2"/>
      <w:sz w:val="21"/>
      <w:szCs w:val="22"/>
    </w:rPr>
  </w:style>
  <w:style w:type="character" w:customStyle="1" w:styleId="41">
    <w:name w:val="批注框文本 Char"/>
    <w:basedOn w:val="27"/>
    <w:link w:val="15"/>
    <w:qFormat/>
    <w:uiPriority w:val="99"/>
    <w:rPr>
      <w:rFonts w:asciiTheme="minorHAnsi" w:hAnsiTheme="minorHAnsi" w:eastAsiaTheme="minorEastAsia" w:cstheme="minorBidi"/>
      <w:kern w:val="2"/>
      <w:sz w:val="18"/>
      <w:szCs w:val="18"/>
    </w:rPr>
  </w:style>
  <w:style w:type="paragraph" w:customStyle="1" w:styleId="42">
    <w:name w:val="列出段落1"/>
    <w:basedOn w:val="1"/>
    <w:qFormat/>
    <w:uiPriority w:val="34"/>
    <w:pPr>
      <w:ind w:firstLine="420" w:firstLineChars="200"/>
    </w:pPr>
    <w:rPr>
      <w:rFonts w:asciiTheme="minorHAnsi" w:hAnsiTheme="minorHAnsi" w:eastAsiaTheme="minorEastAsia" w:cstheme="minorBidi"/>
    </w:rPr>
  </w:style>
  <w:style w:type="paragraph" w:customStyle="1" w:styleId="43">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44">
    <w:name w:val="样式3"/>
    <w:basedOn w:val="5"/>
    <w:qFormat/>
    <w:uiPriority w:val="0"/>
    <w:rPr>
      <w:rFonts w:asciiTheme="minorHAnsi" w:hAnsiTheme="minorHAnsi"/>
    </w:rPr>
  </w:style>
  <w:style w:type="paragraph" w:customStyle="1" w:styleId="45">
    <w:name w:val="样式4"/>
    <w:basedOn w:val="5"/>
    <w:next w:val="5"/>
    <w:qFormat/>
    <w:uiPriority w:val="0"/>
    <w:rPr>
      <w:rFonts w:asciiTheme="minorHAnsi" w:hAnsiTheme="minorHAnsi"/>
    </w:rPr>
  </w:style>
  <w:style w:type="paragraph" w:customStyle="1" w:styleId="46">
    <w:name w:val="样式5"/>
    <w:basedOn w:val="6"/>
    <w:next w:val="6"/>
    <w:qFormat/>
    <w:uiPriority w:val="0"/>
  </w:style>
  <w:style w:type="paragraph" w:customStyle="1" w:styleId="47">
    <w:name w:val="列出段落2"/>
    <w:basedOn w:val="1"/>
    <w:qFormat/>
    <w:uiPriority w:val="34"/>
    <w:pPr>
      <w:ind w:firstLine="420" w:firstLineChars="200"/>
    </w:pPr>
    <w:rPr>
      <w:rFonts w:asciiTheme="minorHAnsi" w:hAnsiTheme="minorHAnsi" w:eastAsiaTheme="minorEastAsia" w:cstheme="minorBidi"/>
    </w:rPr>
  </w:style>
  <w:style w:type="paragraph" w:customStyle="1" w:styleId="48">
    <w:name w:val="_文本正文"/>
    <w:basedOn w:val="1"/>
    <w:qFormat/>
    <w:uiPriority w:val="0"/>
    <w:pPr>
      <w:spacing w:beforeLines="50" w:afterLines="50"/>
      <w:ind w:firstLine="480"/>
      <w:jc w:val="left"/>
    </w:pPr>
    <w:rPr>
      <w:rFonts w:ascii="宋体" w:hAnsi="宋体" w:cs="宋体" w:eastAsiaTheme="minorEastAsia"/>
      <w:szCs w:val="24"/>
    </w:rPr>
  </w:style>
  <w:style w:type="paragraph" w:customStyle="1" w:styleId="49">
    <w:name w:val="样式6"/>
    <w:basedOn w:val="7"/>
    <w:qFormat/>
    <w:uiPriority w:val="0"/>
    <w:rPr>
      <w:rFonts w:asciiTheme="minorHAnsi" w:hAnsiTheme="minorHAnsi"/>
    </w:rPr>
  </w:style>
  <w:style w:type="paragraph" w:customStyle="1" w:styleId="50">
    <w:name w:val="样式7"/>
    <w:basedOn w:val="7"/>
    <w:next w:val="7"/>
    <w:qFormat/>
    <w:uiPriority w:val="0"/>
    <w:rPr>
      <w:rFonts w:asciiTheme="minorHAnsi" w:hAnsiTheme="minorHAnsi"/>
    </w:rPr>
  </w:style>
  <w:style w:type="paragraph" w:customStyle="1" w:styleId="5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2">
    <w:name w:val="_Style 4"/>
    <w:basedOn w:val="1"/>
    <w:qFormat/>
    <w:uiPriority w:val="34"/>
    <w:pPr>
      <w:ind w:firstLine="420" w:firstLineChars="200"/>
    </w:pPr>
    <w:rPr>
      <w:rFonts w:asciiTheme="minorHAnsi" w:hAnsiTheme="minorHAnsi" w:eastAsiaTheme="minorEastAsia" w:cstheme="minorBidi"/>
    </w:rPr>
  </w:style>
  <w:style w:type="paragraph" w:customStyle="1" w:styleId="53">
    <w:name w:val="四级标题"/>
    <w:next w:val="1"/>
    <w:qFormat/>
    <w:uiPriority w:val="3"/>
    <w:pPr>
      <w:spacing w:beforeLines="50" w:afterLines="50" w:line="360" w:lineRule="auto"/>
      <w:outlineLvl w:val="3"/>
    </w:pPr>
    <w:rPr>
      <w:rFonts w:ascii="Times New Roman" w:hAnsi="Times New Roman" w:eastAsia="宋体" w:cs="Times New Roman"/>
      <w:b/>
      <w:sz w:val="28"/>
      <w:szCs w:val="22"/>
      <w:lang w:val="en-US" w:eastAsia="zh-CN" w:bidi="ar-SA"/>
    </w:rPr>
  </w:style>
  <w:style w:type="paragraph" w:customStyle="1" w:styleId="54">
    <w:name w:val="FUNO正文"/>
    <w:qFormat/>
    <w:uiPriority w:val="0"/>
    <w:pPr>
      <w:spacing w:line="360" w:lineRule="auto"/>
    </w:pPr>
    <w:rPr>
      <w:rFonts w:ascii="宋体" w:hAnsi="宋体" w:eastAsia="宋体" w:cs="Times New Roman"/>
      <w:color w:val="000000"/>
      <w:kern w:val="2"/>
      <w:sz w:val="24"/>
      <w:szCs w:val="24"/>
      <w:lang w:val="en-US" w:eastAsia="zh-CN" w:bidi="ar-SA"/>
    </w:rPr>
  </w:style>
  <w:style w:type="character" w:customStyle="1" w:styleId="55">
    <w:name w:val="正文文本缩进 2 Char"/>
    <w:basedOn w:val="27"/>
    <w:link w:val="14"/>
    <w:qFormat/>
    <w:uiPriority w:val="0"/>
    <w:rPr>
      <w:kern w:val="2"/>
      <w:sz w:val="24"/>
    </w:rPr>
  </w:style>
  <w:style w:type="paragraph" w:customStyle="1" w:styleId="56">
    <w:name w:val="列出段落3"/>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1561</Words>
  <Characters>1763</Characters>
  <Lines>14</Lines>
  <Paragraphs>4</Paragraphs>
  <TotalTime>44</TotalTime>
  <ScaleCrop>false</ScaleCrop>
  <LinksUpToDate>false</LinksUpToDate>
  <CharactersWithSpaces>1818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2017-09-22T02:07:00Z</dcterms:created>
  <dc:creator>wzhplm</dc:creator>
  <cp:lastModifiedBy>鹏</cp:lastModifiedBy>
  <cp:lastPrinted>2020-03-06T04:39:00Z</cp:lastPrinted>
  <dcterms:modified xsi:type="dcterms:W3CDTF">2022-04-27T03:23:31Z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8E75561DB725415BB5D2AC1273A9EB03</vt:lpwstr>
  </property>
</Properties>
</file>